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C9A8" w14:textId="77777777" w:rsidR="00EE633F" w:rsidRPr="00180982" w:rsidRDefault="00EE633F">
      <w:pPr>
        <w:spacing w:after="100"/>
        <w:rPr>
          <w:rFonts w:asciiTheme="majorHAnsi" w:hAnsiTheme="majorHAnsi" w:cstheme="majorHAnsi"/>
        </w:rPr>
      </w:pPr>
    </w:p>
    <w:p w14:paraId="30D2F159" w14:textId="77777777" w:rsidR="00EE633F" w:rsidRPr="00180982" w:rsidRDefault="00000000">
      <w:pPr>
        <w:jc w:val="center"/>
        <w:rPr>
          <w:rFonts w:asciiTheme="majorHAnsi" w:hAnsiTheme="majorHAnsi" w:cstheme="majorHAnsi"/>
        </w:rPr>
      </w:pPr>
      <w:r w:rsidRPr="00180982">
        <w:rPr>
          <w:rFonts w:asciiTheme="majorHAnsi" w:hAnsiTheme="majorHAnsi" w:cstheme="majorHAnsi"/>
          <w:b/>
          <w:color w:val="2E86C1"/>
        </w:rPr>
        <w:t>UR-SERV BUSINESS ADVISORY</w:t>
      </w:r>
    </w:p>
    <w:p w14:paraId="2781B7D7" w14:textId="77777777" w:rsidR="00EE633F" w:rsidRPr="00180982" w:rsidRDefault="00EE633F">
      <w:pPr>
        <w:spacing w:after="100"/>
        <w:rPr>
          <w:rFonts w:asciiTheme="majorHAnsi" w:hAnsiTheme="majorHAnsi" w:cstheme="majorHAnsi"/>
        </w:rPr>
      </w:pPr>
    </w:p>
    <w:p w14:paraId="36767D5C" w14:textId="77777777" w:rsidR="00EE633F" w:rsidRPr="00180982" w:rsidRDefault="00000000">
      <w:pPr>
        <w:jc w:val="center"/>
        <w:rPr>
          <w:rFonts w:asciiTheme="majorHAnsi" w:hAnsiTheme="majorHAnsi" w:cstheme="majorHAnsi"/>
        </w:rPr>
      </w:pPr>
      <w:r w:rsidRPr="00180982">
        <w:rPr>
          <w:rFonts w:asciiTheme="majorHAnsi" w:hAnsiTheme="majorHAnsi" w:cstheme="majorHAnsi"/>
          <w:b/>
          <w:color w:val="1B4F72"/>
          <w:sz w:val="56"/>
        </w:rPr>
        <w:t>FEASIBILITY STUDY REPORT</w:t>
      </w:r>
    </w:p>
    <w:p w14:paraId="7AB40C7C" w14:textId="77777777" w:rsidR="00EE633F" w:rsidRPr="00180982" w:rsidRDefault="00000000">
      <w:pPr>
        <w:jc w:val="center"/>
        <w:rPr>
          <w:rFonts w:asciiTheme="majorHAnsi" w:hAnsiTheme="majorHAnsi" w:cstheme="majorHAnsi"/>
        </w:rPr>
      </w:pPr>
      <w:r w:rsidRPr="00180982">
        <w:rPr>
          <w:rFonts w:asciiTheme="majorHAnsi" w:hAnsiTheme="majorHAnsi" w:cstheme="majorHAnsi"/>
          <w:b/>
          <w:color w:val="F39C12"/>
          <w:sz w:val="30"/>
        </w:rPr>
        <w:t>ATLANTIC HOSPITALITY HOTEL — NAIROBI, KENYA</w:t>
      </w:r>
    </w:p>
    <w:p w14:paraId="684FD79F" w14:textId="77777777" w:rsidR="00EE633F" w:rsidRPr="00180982" w:rsidRDefault="00EE633F">
      <w:pPr>
        <w:spacing w:after="100"/>
        <w:rPr>
          <w:rFonts w:asciiTheme="majorHAnsi" w:hAnsiTheme="majorHAnsi" w:cstheme="majorHAnsi"/>
        </w:rPr>
      </w:pPr>
    </w:p>
    <w:tbl>
      <w:tblPr>
        <w:tblW w:w="0" w:type="auto"/>
        <w:jc w:val="center"/>
        <w:tblLook w:val="04A0" w:firstRow="1" w:lastRow="0" w:firstColumn="1" w:lastColumn="0" w:noHBand="0" w:noVBand="1"/>
      </w:tblPr>
      <w:tblGrid>
        <w:gridCol w:w="2880"/>
        <w:gridCol w:w="6048"/>
      </w:tblGrid>
      <w:tr w:rsidR="00EE633F" w:rsidRPr="00180982" w14:paraId="324A3665" w14:textId="77777777">
        <w:trPr>
          <w:jc w:val="center"/>
        </w:trPr>
        <w:tc>
          <w:tcPr>
            <w:tcW w:w="2880" w:type="dxa"/>
            <w:shd w:val="clear" w:color="auto" w:fill="1B4F72"/>
          </w:tcPr>
          <w:p w14:paraId="5A0FE23A" w14:textId="77777777" w:rsidR="00EE633F" w:rsidRPr="00180982" w:rsidRDefault="00000000">
            <w:pPr>
              <w:rPr>
                <w:rFonts w:asciiTheme="majorHAnsi" w:hAnsiTheme="majorHAnsi" w:cstheme="majorHAnsi"/>
              </w:rPr>
            </w:pPr>
            <w:r w:rsidRPr="00180982">
              <w:rPr>
                <w:rFonts w:asciiTheme="majorHAnsi" w:hAnsiTheme="majorHAnsi" w:cstheme="majorHAnsi"/>
                <w:b/>
                <w:color w:val="FFFFFF"/>
                <w:sz w:val="19"/>
              </w:rPr>
              <w:t>Project Reference</w:t>
            </w:r>
          </w:p>
        </w:tc>
        <w:tc>
          <w:tcPr>
            <w:tcW w:w="6048" w:type="dxa"/>
          </w:tcPr>
          <w:p w14:paraId="2E66A164" w14:textId="77777777" w:rsidR="00EE633F" w:rsidRPr="00180982" w:rsidRDefault="00000000">
            <w:pPr>
              <w:rPr>
                <w:rFonts w:asciiTheme="majorHAnsi" w:hAnsiTheme="majorHAnsi" w:cstheme="majorHAnsi"/>
              </w:rPr>
            </w:pPr>
            <w:r w:rsidRPr="00180982">
              <w:rPr>
                <w:rFonts w:asciiTheme="majorHAnsi" w:hAnsiTheme="majorHAnsi" w:cstheme="majorHAnsi"/>
                <w:sz w:val="19"/>
              </w:rPr>
              <w:t>ATL-KE-2026-FS</w:t>
            </w:r>
          </w:p>
        </w:tc>
      </w:tr>
      <w:tr w:rsidR="00EE633F" w:rsidRPr="00180982" w14:paraId="00932595" w14:textId="77777777">
        <w:trPr>
          <w:jc w:val="center"/>
        </w:trPr>
        <w:tc>
          <w:tcPr>
            <w:tcW w:w="2880" w:type="dxa"/>
            <w:shd w:val="clear" w:color="auto" w:fill="1B4F72"/>
          </w:tcPr>
          <w:p w14:paraId="64159BF4" w14:textId="77777777" w:rsidR="00EE633F" w:rsidRPr="00180982" w:rsidRDefault="00000000">
            <w:pPr>
              <w:rPr>
                <w:rFonts w:asciiTheme="majorHAnsi" w:hAnsiTheme="majorHAnsi" w:cstheme="majorHAnsi"/>
              </w:rPr>
            </w:pPr>
            <w:r w:rsidRPr="00180982">
              <w:rPr>
                <w:rFonts w:asciiTheme="majorHAnsi" w:hAnsiTheme="majorHAnsi" w:cstheme="majorHAnsi"/>
                <w:b/>
                <w:color w:val="FFFFFF"/>
                <w:sz w:val="19"/>
              </w:rPr>
              <w:t>Prepared For</w:t>
            </w:r>
          </w:p>
        </w:tc>
        <w:tc>
          <w:tcPr>
            <w:tcW w:w="6048" w:type="dxa"/>
          </w:tcPr>
          <w:p w14:paraId="2C0CC29F" w14:textId="77777777" w:rsidR="00EE633F" w:rsidRPr="00180982" w:rsidRDefault="00000000">
            <w:pPr>
              <w:rPr>
                <w:rFonts w:asciiTheme="majorHAnsi" w:hAnsiTheme="majorHAnsi" w:cstheme="majorHAnsi"/>
              </w:rPr>
            </w:pPr>
            <w:r w:rsidRPr="00180982">
              <w:rPr>
                <w:rFonts w:asciiTheme="majorHAnsi" w:hAnsiTheme="majorHAnsi" w:cstheme="majorHAnsi"/>
                <w:sz w:val="19"/>
              </w:rPr>
              <w:t>Investor / Financial Institution / Internal Decision-Making</w:t>
            </w:r>
          </w:p>
        </w:tc>
      </w:tr>
      <w:tr w:rsidR="00EE633F" w:rsidRPr="00180982" w14:paraId="52DEE7A2" w14:textId="77777777">
        <w:trPr>
          <w:jc w:val="center"/>
        </w:trPr>
        <w:tc>
          <w:tcPr>
            <w:tcW w:w="2880" w:type="dxa"/>
            <w:shd w:val="clear" w:color="auto" w:fill="1B4F72"/>
          </w:tcPr>
          <w:p w14:paraId="2815741C" w14:textId="77777777" w:rsidR="00EE633F" w:rsidRPr="00180982" w:rsidRDefault="00000000">
            <w:pPr>
              <w:rPr>
                <w:rFonts w:asciiTheme="majorHAnsi" w:hAnsiTheme="majorHAnsi" w:cstheme="majorHAnsi"/>
              </w:rPr>
            </w:pPr>
            <w:r w:rsidRPr="00180982">
              <w:rPr>
                <w:rFonts w:asciiTheme="majorHAnsi" w:hAnsiTheme="majorHAnsi" w:cstheme="majorHAnsi"/>
                <w:b/>
                <w:color w:val="FFFFFF"/>
                <w:sz w:val="19"/>
              </w:rPr>
              <w:t>Prepared By</w:t>
            </w:r>
          </w:p>
        </w:tc>
        <w:tc>
          <w:tcPr>
            <w:tcW w:w="6048" w:type="dxa"/>
          </w:tcPr>
          <w:p w14:paraId="5A142BBD" w14:textId="77777777" w:rsidR="00EE633F" w:rsidRPr="00180982" w:rsidRDefault="00000000">
            <w:pPr>
              <w:rPr>
                <w:rFonts w:asciiTheme="majorHAnsi" w:hAnsiTheme="majorHAnsi" w:cstheme="majorHAnsi"/>
              </w:rPr>
            </w:pPr>
            <w:r w:rsidRPr="00180982">
              <w:rPr>
                <w:rFonts w:asciiTheme="majorHAnsi" w:hAnsiTheme="majorHAnsi" w:cstheme="majorHAnsi"/>
                <w:sz w:val="19"/>
              </w:rPr>
              <w:t>Ur-Serv Business Advisory</w:t>
            </w:r>
          </w:p>
        </w:tc>
      </w:tr>
      <w:tr w:rsidR="00EE633F" w:rsidRPr="00180982" w14:paraId="0B960E30" w14:textId="77777777">
        <w:trPr>
          <w:jc w:val="center"/>
        </w:trPr>
        <w:tc>
          <w:tcPr>
            <w:tcW w:w="2880" w:type="dxa"/>
            <w:shd w:val="clear" w:color="auto" w:fill="1B4F72"/>
          </w:tcPr>
          <w:p w14:paraId="4C691EA6" w14:textId="77777777" w:rsidR="00EE633F" w:rsidRPr="00180982" w:rsidRDefault="00000000">
            <w:pPr>
              <w:rPr>
                <w:rFonts w:asciiTheme="majorHAnsi" w:hAnsiTheme="majorHAnsi" w:cstheme="majorHAnsi"/>
              </w:rPr>
            </w:pPr>
            <w:r w:rsidRPr="00180982">
              <w:rPr>
                <w:rFonts w:asciiTheme="majorHAnsi" w:hAnsiTheme="majorHAnsi" w:cstheme="majorHAnsi"/>
                <w:b/>
                <w:color w:val="FFFFFF"/>
                <w:sz w:val="19"/>
              </w:rPr>
              <w:t>Contact</w:t>
            </w:r>
          </w:p>
        </w:tc>
        <w:tc>
          <w:tcPr>
            <w:tcW w:w="6048" w:type="dxa"/>
          </w:tcPr>
          <w:p w14:paraId="77C99640" w14:textId="05CB305B" w:rsidR="00EE633F" w:rsidRPr="00180982" w:rsidRDefault="00180982">
            <w:pPr>
              <w:rPr>
                <w:rFonts w:asciiTheme="majorHAnsi" w:hAnsiTheme="majorHAnsi" w:cstheme="majorHAnsi"/>
              </w:rPr>
            </w:pPr>
            <w:r>
              <w:rPr>
                <w:rFonts w:asciiTheme="majorHAnsi" w:hAnsiTheme="majorHAnsi" w:cstheme="majorHAnsi"/>
                <w:sz w:val="19"/>
              </w:rPr>
              <w:t>Feasibility Studies Team</w:t>
            </w:r>
            <w:r w:rsidR="00000000" w:rsidRPr="00180982">
              <w:rPr>
                <w:rFonts w:asciiTheme="majorHAnsi" w:hAnsiTheme="majorHAnsi" w:cstheme="majorHAnsi"/>
                <w:sz w:val="19"/>
              </w:rPr>
              <w:t xml:space="preserve"> –</w:t>
            </w:r>
            <w:r>
              <w:rPr>
                <w:rFonts w:asciiTheme="majorHAnsi" w:hAnsiTheme="majorHAnsi" w:cstheme="majorHAnsi"/>
                <w:sz w:val="19"/>
              </w:rPr>
              <w:t>support</w:t>
            </w:r>
            <w:r w:rsidR="00000000" w:rsidRPr="00180982">
              <w:rPr>
                <w:rFonts w:asciiTheme="majorHAnsi" w:hAnsiTheme="majorHAnsi" w:cstheme="majorHAnsi"/>
                <w:sz w:val="19"/>
              </w:rPr>
              <w:t>@ur-serv.com</w:t>
            </w:r>
          </w:p>
        </w:tc>
      </w:tr>
      <w:tr w:rsidR="00EE633F" w:rsidRPr="00180982" w14:paraId="0C1CB6FB" w14:textId="77777777">
        <w:trPr>
          <w:jc w:val="center"/>
        </w:trPr>
        <w:tc>
          <w:tcPr>
            <w:tcW w:w="2880" w:type="dxa"/>
            <w:shd w:val="clear" w:color="auto" w:fill="1B4F72"/>
          </w:tcPr>
          <w:p w14:paraId="16AB0183" w14:textId="77777777" w:rsidR="00EE633F" w:rsidRPr="00180982" w:rsidRDefault="00000000">
            <w:pPr>
              <w:rPr>
                <w:rFonts w:asciiTheme="majorHAnsi" w:hAnsiTheme="majorHAnsi" w:cstheme="majorHAnsi"/>
              </w:rPr>
            </w:pPr>
            <w:r w:rsidRPr="00180982">
              <w:rPr>
                <w:rFonts w:asciiTheme="majorHAnsi" w:hAnsiTheme="majorHAnsi" w:cstheme="majorHAnsi"/>
                <w:b/>
                <w:color w:val="FFFFFF"/>
                <w:sz w:val="19"/>
              </w:rPr>
              <w:t>Region</w:t>
            </w:r>
          </w:p>
        </w:tc>
        <w:tc>
          <w:tcPr>
            <w:tcW w:w="6048" w:type="dxa"/>
          </w:tcPr>
          <w:p w14:paraId="3965A94D" w14:textId="77777777" w:rsidR="00EE633F" w:rsidRPr="00180982" w:rsidRDefault="00000000">
            <w:pPr>
              <w:rPr>
                <w:rFonts w:asciiTheme="majorHAnsi" w:hAnsiTheme="majorHAnsi" w:cstheme="majorHAnsi"/>
              </w:rPr>
            </w:pPr>
            <w:r w:rsidRPr="00180982">
              <w:rPr>
                <w:rFonts w:asciiTheme="majorHAnsi" w:hAnsiTheme="majorHAnsi" w:cstheme="majorHAnsi"/>
                <w:sz w:val="19"/>
              </w:rPr>
              <w:t>Middle East &amp; Africa (MEA)</w:t>
            </w:r>
          </w:p>
        </w:tc>
      </w:tr>
      <w:tr w:rsidR="00EE633F" w:rsidRPr="00180982" w14:paraId="421D1768" w14:textId="77777777">
        <w:trPr>
          <w:jc w:val="center"/>
        </w:trPr>
        <w:tc>
          <w:tcPr>
            <w:tcW w:w="2880" w:type="dxa"/>
            <w:shd w:val="clear" w:color="auto" w:fill="1B4F72"/>
          </w:tcPr>
          <w:p w14:paraId="44A48404" w14:textId="77777777" w:rsidR="00EE633F" w:rsidRPr="00180982" w:rsidRDefault="00000000">
            <w:pPr>
              <w:rPr>
                <w:rFonts w:asciiTheme="majorHAnsi" w:hAnsiTheme="majorHAnsi" w:cstheme="majorHAnsi"/>
              </w:rPr>
            </w:pPr>
            <w:r w:rsidRPr="00180982">
              <w:rPr>
                <w:rFonts w:asciiTheme="majorHAnsi" w:hAnsiTheme="majorHAnsi" w:cstheme="majorHAnsi"/>
                <w:b/>
                <w:color w:val="FFFFFF"/>
                <w:sz w:val="19"/>
              </w:rPr>
              <w:t>Date</w:t>
            </w:r>
          </w:p>
        </w:tc>
        <w:tc>
          <w:tcPr>
            <w:tcW w:w="6048" w:type="dxa"/>
          </w:tcPr>
          <w:p w14:paraId="76695635" w14:textId="77777777" w:rsidR="00EE633F" w:rsidRPr="00180982" w:rsidRDefault="00000000">
            <w:pPr>
              <w:rPr>
                <w:rFonts w:asciiTheme="majorHAnsi" w:hAnsiTheme="majorHAnsi" w:cstheme="majorHAnsi"/>
              </w:rPr>
            </w:pPr>
            <w:r w:rsidRPr="00180982">
              <w:rPr>
                <w:rFonts w:asciiTheme="majorHAnsi" w:hAnsiTheme="majorHAnsi" w:cstheme="majorHAnsi"/>
                <w:sz w:val="19"/>
              </w:rPr>
              <w:t>June 2026</w:t>
            </w:r>
          </w:p>
        </w:tc>
      </w:tr>
      <w:tr w:rsidR="00EE633F" w:rsidRPr="00180982" w14:paraId="411DD3BB" w14:textId="77777777">
        <w:trPr>
          <w:jc w:val="center"/>
        </w:trPr>
        <w:tc>
          <w:tcPr>
            <w:tcW w:w="2880" w:type="dxa"/>
            <w:shd w:val="clear" w:color="auto" w:fill="1B4F72"/>
          </w:tcPr>
          <w:p w14:paraId="7117B6D6" w14:textId="77777777" w:rsidR="00EE633F" w:rsidRPr="00180982" w:rsidRDefault="00000000">
            <w:pPr>
              <w:rPr>
                <w:rFonts w:asciiTheme="majorHAnsi" w:hAnsiTheme="majorHAnsi" w:cstheme="majorHAnsi"/>
              </w:rPr>
            </w:pPr>
            <w:r w:rsidRPr="00180982">
              <w:rPr>
                <w:rFonts w:asciiTheme="majorHAnsi" w:hAnsiTheme="majorHAnsi" w:cstheme="majorHAnsi"/>
                <w:b/>
                <w:color w:val="FFFFFF"/>
                <w:sz w:val="19"/>
              </w:rPr>
              <w:t>Version</w:t>
            </w:r>
          </w:p>
        </w:tc>
        <w:tc>
          <w:tcPr>
            <w:tcW w:w="6048" w:type="dxa"/>
          </w:tcPr>
          <w:p w14:paraId="35CE2994" w14:textId="77777777" w:rsidR="00EE633F" w:rsidRPr="00180982" w:rsidRDefault="00000000">
            <w:pPr>
              <w:rPr>
                <w:rFonts w:asciiTheme="majorHAnsi" w:hAnsiTheme="majorHAnsi" w:cstheme="majorHAnsi"/>
              </w:rPr>
            </w:pPr>
            <w:r w:rsidRPr="00180982">
              <w:rPr>
                <w:rFonts w:asciiTheme="majorHAnsi" w:hAnsiTheme="majorHAnsi" w:cstheme="majorHAnsi"/>
                <w:sz w:val="19"/>
              </w:rPr>
              <w:t>Indicative Sample v1.0 — Key Figures Partially Redacted</w:t>
            </w:r>
          </w:p>
        </w:tc>
      </w:tr>
    </w:tbl>
    <w:p w14:paraId="305072EB" w14:textId="77777777" w:rsidR="00EE633F" w:rsidRPr="00180982" w:rsidRDefault="00EE633F">
      <w:pPr>
        <w:spacing w:after="100"/>
        <w:rPr>
          <w:rFonts w:asciiTheme="majorHAnsi" w:hAnsiTheme="majorHAnsi" w:cstheme="majorHAnsi"/>
        </w:rPr>
      </w:pPr>
    </w:p>
    <w:p w14:paraId="19556DE0" w14:textId="77777777" w:rsidR="00EE633F" w:rsidRPr="00180982" w:rsidRDefault="00000000">
      <w:pPr>
        <w:spacing w:after="100"/>
        <w:rPr>
          <w:rFonts w:asciiTheme="majorHAnsi" w:hAnsiTheme="majorHAnsi" w:cstheme="majorHAnsi"/>
        </w:rPr>
      </w:pPr>
      <w:r w:rsidRPr="00180982">
        <w:rPr>
          <w:rFonts w:asciiTheme="majorHAnsi" w:hAnsiTheme="majorHAnsi" w:cstheme="majorHAnsi"/>
          <w:i/>
          <w:color w:val="7F8C8D"/>
          <w:sz w:val="16"/>
        </w:rPr>
        <w:t>CONFIDENTIAL — For internal use by the intended recipient only. This document is a sample feasibility study prepared for planning and discussion purposes. Financial figures are indicative and partially redacted. This document does not constitute investment, legal, or financial advice.</w:t>
      </w:r>
    </w:p>
    <w:p w14:paraId="7D64EF4E" w14:textId="77777777" w:rsidR="00EE633F" w:rsidRPr="00180982" w:rsidRDefault="00000000">
      <w:pPr>
        <w:rPr>
          <w:rFonts w:asciiTheme="majorHAnsi" w:hAnsiTheme="majorHAnsi" w:cstheme="majorHAnsi"/>
        </w:rPr>
      </w:pPr>
      <w:r w:rsidRPr="00180982">
        <w:rPr>
          <w:rFonts w:asciiTheme="majorHAnsi" w:hAnsiTheme="majorHAnsi" w:cstheme="majorHAnsi"/>
        </w:rPr>
        <w:br w:type="page"/>
      </w:r>
    </w:p>
    <w:p w14:paraId="243D87BC" w14:textId="77777777" w:rsidR="00EE633F" w:rsidRPr="00180982" w:rsidRDefault="00000000">
      <w:pPr>
        <w:spacing w:before="200" w:after="80"/>
        <w:rPr>
          <w:rFonts w:asciiTheme="majorHAnsi" w:hAnsiTheme="majorHAnsi" w:cstheme="majorHAnsi"/>
        </w:rPr>
      </w:pPr>
      <w:r w:rsidRPr="00180982">
        <w:rPr>
          <w:rFonts w:asciiTheme="majorHAnsi" w:hAnsiTheme="majorHAnsi" w:cstheme="majorHAnsi"/>
          <w:b/>
          <w:color w:val="1B4F72"/>
          <w:sz w:val="28"/>
        </w:rPr>
        <w:lastRenderedPageBreak/>
        <w:t>TABLE OF CONTENTS</w:t>
      </w:r>
    </w:p>
    <w:p w14:paraId="678D0FA3" w14:textId="77777777" w:rsidR="00EE633F" w:rsidRPr="00180982" w:rsidRDefault="00000000">
      <w:pPr>
        <w:rPr>
          <w:rFonts w:asciiTheme="majorHAnsi" w:hAnsiTheme="majorHAnsi" w:cstheme="majorHAnsi"/>
        </w:rPr>
      </w:pPr>
      <w:r w:rsidRPr="00180982">
        <w:rPr>
          <w:rFonts w:asciiTheme="majorHAnsi" w:hAnsiTheme="majorHAnsi" w:cstheme="majorHAnsi"/>
          <w:color w:val="BDC3C7"/>
          <w:sz w:val="14"/>
        </w:rPr>
        <w:t>──────────────────────────────────────────────────────────────────────────────────────────────────────────────</w:t>
      </w:r>
    </w:p>
    <w:p w14:paraId="299DBFFA"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20"/>
        </w:rPr>
        <w:t xml:space="preserve">  0.  Ur-Serv Scope of Work &amp; Study Methodology</w:t>
      </w:r>
    </w:p>
    <w:p w14:paraId="23DA928B"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20"/>
        </w:rPr>
        <w:t xml:space="preserve">  1.  Executive Summary</w:t>
      </w:r>
    </w:p>
    <w:p w14:paraId="1334A53B"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20"/>
        </w:rPr>
        <w:t xml:space="preserve">  2.  Project Overview</w:t>
      </w:r>
    </w:p>
    <w:p w14:paraId="65B38DE4"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20"/>
        </w:rPr>
        <w:t xml:space="preserve">  3.  Market Assessment</w:t>
      </w:r>
    </w:p>
    <w:p w14:paraId="34574C47"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20"/>
        </w:rPr>
        <w:t xml:space="preserve">  4.  Technical &amp; Operational Feasibility</w:t>
      </w:r>
    </w:p>
    <w:p w14:paraId="14162194"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20"/>
        </w:rPr>
        <w:t xml:space="preserve">  5.  Management &amp; Organisational Structure</w:t>
      </w:r>
    </w:p>
    <w:p w14:paraId="3012DFD1"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20"/>
        </w:rPr>
        <w:t xml:space="preserve">  6.  Financial Feasibility</w:t>
      </w:r>
    </w:p>
    <w:p w14:paraId="5F211F7A"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20"/>
        </w:rPr>
        <w:t xml:space="preserve">  7.  Sensitivity Analysis</w:t>
      </w:r>
    </w:p>
    <w:p w14:paraId="14C18143"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20"/>
        </w:rPr>
        <w:t xml:space="preserve">  8.  Financing &amp; Capital Structure</w:t>
      </w:r>
    </w:p>
    <w:p w14:paraId="5E889711"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20"/>
        </w:rPr>
        <w:t xml:space="preserve">  9.  Risk Assessment &amp; Mitigation</w:t>
      </w:r>
    </w:p>
    <w:p w14:paraId="39185C11"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20"/>
        </w:rPr>
        <w:t xml:space="preserve">  10.  Legal &amp; Regulatory Framework</w:t>
      </w:r>
    </w:p>
    <w:p w14:paraId="7690B96F"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20"/>
        </w:rPr>
        <w:t xml:space="preserve">  11.  Environmental &amp; Social Considerations</w:t>
      </w:r>
    </w:p>
    <w:p w14:paraId="2926DF8C"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20"/>
        </w:rPr>
        <w:t xml:space="preserve">  12.  Conclusions &amp; Recommendations</w:t>
      </w:r>
    </w:p>
    <w:p w14:paraId="535ABA07"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20"/>
        </w:rPr>
        <w:t xml:space="preserve">  Appendices.  List of Appendices</w:t>
      </w:r>
    </w:p>
    <w:p w14:paraId="5A9F72E9" w14:textId="77777777" w:rsidR="00EE633F" w:rsidRPr="00180982" w:rsidRDefault="00000000">
      <w:pPr>
        <w:rPr>
          <w:rFonts w:asciiTheme="majorHAnsi" w:hAnsiTheme="majorHAnsi" w:cstheme="majorHAnsi"/>
        </w:rPr>
      </w:pPr>
      <w:r w:rsidRPr="00180982">
        <w:rPr>
          <w:rFonts w:asciiTheme="majorHAnsi" w:hAnsiTheme="majorHAnsi" w:cstheme="majorHAnsi"/>
        </w:rPr>
        <w:br w:type="page"/>
      </w:r>
    </w:p>
    <w:p w14:paraId="320842B7" w14:textId="77777777" w:rsidR="00EE633F" w:rsidRPr="00180982" w:rsidRDefault="00000000">
      <w:pPr>
        <w:spacing w:before="200" w:after="80"/>
        <w:rPr>
          <w:rFonts w:asciiTheme="majorHAnsi" w:hAnsiTheme="majorHAnsi" w:cstheme="majorHAnsi"/>
        </w:rPr>
      </w:pPr>
      <w:r w:rsidRPr="00180982">
        <w:rPr>
          <w:rFonts w:asciiTheme="majorHAnsi" w:hAnsiTheme="majorHAnsi" w:cstheme="majorHAnsi"/>
          <w:b/>
          <w:color w:val="1B4F72"/>
          <w:sz w:val="28"/>
        </w:rPr>
        <w:lastRenderedPageBreak/>
        <w:t>0.  Ur-Serv Scope of Work &amp; Study Methodology</w:t>
      </w:r>
    </w:p>
    <w:p w14:paraId="01F439CE" w14:textId="77777777" w:rsidR="00EE633F" w:rsidRPr="00180982" w:rsidRDefault="00000000">
      <w:pPr>
        <w:rPr>
          <w:rFonts w:asciiTheme="majorHAnsi" w:hAnsiTheme="majorHAnsi" w:cstheme="majorHAnsi"/>
        </w:rPr>
      </w:pPr>
      <w:r w:rsidRPr="00180982">
        <w:rPr>
          <w:rFonts w:asciiTheme="majorHAnsi" w:hAnsiTheme="majorHAnsi" w:cstheme="majorHAnsi"/>
          <w:color w:val="BDC3C7"/>
          <w:sz w:val="14"/>
        </w:rPr>
        <w:t>──────────────────────────────────────────────────────────────────────────────────────────────────────────────</w:t>
      </w:r>
    </w:p>
    <w:p w14:paraId="3BF0A19F" w14:textId="77777777" w:rsidR="00180982" w:rsidRDefault="00000000">
      <w:pPr>
        <w:spacing w:after="100"/>
        <w:rPr>
          <w:rFonts w:asciiTheme="majorHAnsi" w:hAnsiTheme="majorHAnsi" w:cstheme="majorHAnsi"/>
          <w:color w:val="17202A"/>
          <w:sz w:val="20"/>
        </w:rPr>
      </w:pPr>
      <w:r w:rsidRPr="00180982">
        <w:rPr>
          <w:rFonts w:asciiTheme="majorHAnsi" w:hAnsiTheme="majorHAnsi" w:cstheme="majorHAnsi"/>
          <w:color w:val="17202A"/>
          <w:sz w:val="20"/>
        </w:rPr>
        <w:t xml:space="preserve">Ur-Serv Business Advisory is a Cairo-based advisory firm specialising in business development, feasibility studies, strategic planning, and supply chain solutions across the Middle East and Africa region. </w:t>
      </w:r>
    </w:p>
    <w:p w14:paraId="115A46B7" w14:textId="5F0AC9E8" w:rsidR="00EE633F" w:rsidRPr="00180982" w:rsidRDefault="00000000">
      <w:pPr>
        <w:spacing w:after="100"/>
        <w:rPr>
          <w:rFonts w:asciiTheme="majorHAnsi" w:hAnsiTheme="majorHAnsi" w:cstheme="majorHAnsi"/>
        </w:rPr>
      </w:pPr>
      <w:r w:rsidRPr="00180982">
        <w:rPr>
          <w:rFonts w:asciiTheme="majorHAnsi" w:hAnsiTheme="majorHAnsi" w:cstheme="majorHAnsi"/>
          <w:color w:val="17202A"/>
          <w:sz w:val="20"/>
        </w:rPr>
        <w:t>This engagement was commissioned to conduct a structured, evidence-based screening of the Atlantic Hospitality Hotel project in Nairobi, Kenya, enabling investors and decision-makers to assess feasibility prior to committing to a full-scale investment.</w:t>
      </w:r>
    </w:p>
    <w:p w14:paraId="4F579AC5" w14:textId="77777777" w:rsidR="00EE633F" w:rsidRPr="00180982" w:rsidRDefault="00000000">
      <w:pPr>
        <w:spacing w:after="100"/>
        <w:rPr>
          <w:rFonts w:asciiTheme="majorHAnsi" w:hAnsiTheme="majorHAnsi" w:cstheme="majorHAnsi"/>
        </w:rPr>
      </w:pPr>
      <w:r w:rsidRPr="00180982">
        <w:rPr>
          <w:rFonts w:asciiTheme="majorHAnsi" w:hAnsiTheme="majorHAnsi" w:cstheme="majorHAnsi"/>
          <w:color w:val="17202A"/>
          <w:sz w:val="20"/>
        </w:rPr>
        <w:t>Ur-Serv's feasibility framework follows a seven-pillar methodology: (1) Scope Definition, (2) Desk-Based Market Research, (3) Technical &amp; Operational Review, (4) Management Structure Assessment, (5) Financial Modelling, (6) Risk Profile Identification, and (7) Recommendation &amp; Roadmap.</w:t>
      </w:r>
    </w:p>
    <w:tbl>
      <w:tblPr>
        <w:tblStyle w:val="TableGrid"/>
        <w:tblW w:w="0" w:type="auto"/>
        <w:jc w:val="center"/>
        <w:tblLook w:val="04A0" w:firstRow="1" w:lastRow="0" w:firstColumn="1" w:lastColumn="0" w:noHBand="0" w:noVBand="1"/>
      </w:tblPr>
      <w:tblGrid>
        <w:gridCol w:w="2160"/>
        <w:gridCol w:w="3600"/>
        <w:gridCol w:w="3024"/>
      </w:tblGrid>
      <w:tr w:rsidR="00EE633F" w:rsidRPr="00180982" w14:paraId="3403B0F0" w14:textId="77777777">
        <w:trPr>
          <w:jc w:val="center"/>
        </w:trPr>
        <w:tc>
          <w:tcPr>
            <w:tcW w:w="2160" w:type="dxa"/>
            <w:shd w:val="clear" w:color="auto" w:fill="1B4F72"/>
          </w:tcPr>
          <w:p w14:paraId="6ED9629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Pillar</w:t>
            </w:r>
          </w:p>
        </w:tc>
        <w:tc>
          <w:tcPr>
            <w:tcW w:w="3600" w:type="dxa"/>
            <w:shd w:val="clear" w:color="auto" w:fill="1B4F72"/>
          </w:tcPr>
          <w:p w14:paraId="24A716D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Activity</w:t>
            </w:r>
          </w:p>
        </w:tc>
        <w:tc>
          <w:tcPr>
            <w:tcW w:w="3024" w:type="dxa"/>
            <w:shd w:val="clear" w:color="auto" w:fill="1B4F72"/>
          </w:tcPr>
          <w:p w14:paraId="3923F89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Deliverable</w:t>
            </w:r>
          </w:p>
        </w:tc>
      </w:tr>
      <w:tr w:rsidR="00EE633F" w:rsidRPr="00180982" w14:paraId="4B4EE53C" w14:textId="77777777">
        <w:trPr>
          <w:jc w:val="center"/>
        </w:trPr>
        <w:tc>
          <w:tcPr>
            <w:tcW w:w="2160" w:type="dxa"/>
            <w:shd w:val="clear" w:color="auto" w:fill="EAF2FF"/>
          </w:tcPr>
          <w:p w14:paraId="0CA7AE0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 – Scope Definition</w:t>
            </w:r>
          </w:p>
        </w:tc>
        <w:tc>
          <w:tcPr>
            <w:tcW w:w="3600" w:type="dxa"/>
            <w:shd w:val="clear" w:color="auto" w:fill="EAF2FF"/>
          </w:tcPr>
          <w:p w14:paraId="17CADC1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Agree boundaries, exclusions, and assumptions</w:t>
            </w:r>
          </w:p>
        </w:tc>
        <w:tc>
          <w:tcPr>
            <w:tcW w:w="3024" w:type="dxa"/>
            <w:shd w:val="clear" w:color="auto" w:fill="EAF2FF"/>
          </w:tcPr>
          <w:p w14:paraId="5C69362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Terms of Reference</w:t>
            </w:r>
          </w:p>
        </w:tc>
      </w:tr>
      <w:tr w:rsidR="00EE633F" w:rsidRPr="00180982" w14:paraId="51369983" w14:textId="77777777">
        <w:trPr>
          <w:jc w:val="center"/>
        </w:trPr>
        <w:tc>
          <w:tcPr>
            <w:tcW w:w="2160" w:type="dxa"/>
            <w:shd w:val="clear" w:color="auto" w:fill="FFFFFF"/>
          </w:tcPr>
          <w:p w14:paraId="2CBD06B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 – Market Research</w:t>
            </w:r>
          </w:p>
        </w:tc>
        <w:tc>
          <w:tcPr>
            <w:tcW w:w="3600" w:type="dxa"/>
            <w:shd w:val="clear" w:color="auto" w:fill="FFFFFF"/>
          </w:tcPr>
          <w:p w14:paraId="6AB66A3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Desk research, benchmarking, demand validation</w:t>
            </w:r>
          </w:p>
        </w:tc>
        <w:tc>
          <w:tcPr>
            <w:tcW w:w="3024" w:type="dxa"/>
            <w:shd w:val="clear" w:color="auto" w:fill="FFFFFF"/>
          </w:tcPr>
          <w:p w14:paraId="7316EAB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Market summary &amp; comparables</w:t>
            </w:r>
          </w:p>
        </w:tc>
      </w:tr>
      <w:tr w:rsidR="00EE633F" w:rsidRPr="00180982" w14:paraId="2E9D402F" w14:textId="77777777">
        <w:trPr>
          <w:jc w:val="center"/>
        </w:trPr>
        <w:tc>
          <w:tcPr>
            <w:tcW w:w="2160" w:type="dxa"/>
            <w:shd w:val="clear" w:color="auto" w:fill="EAF2FF"/>
          </w:tcPr>
          <w:p w14:paraId="36AC115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 – Technical Review</w:t>
            </w:r>
          </w:p>
        </w:tc>
        <w:tc>
          <w:tcPr>
            <w:tcW w:w="3600" w:type="dxa"/>
            <w:shd w:val="clear" w:color="auto" w:fill="EAF2FF"/>
          </w:tcPr>
          <w:p w14:paraId="02219C1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Site options, utilities, equipment, timeline</w:t>
            </w:r>
          </w:p>
        </w:tc>
        <w:tc>
          <w:tcPr>
            <w:tcW w:w="3024" w:type="dxa"/>
            <w:shd w:val="clear" w:color="auto" w:fill="EAF2FF"/>
          </w:tcPr>
          <w:p w14:paraId="5E6D9FE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Technical summary sheet</w:t>
            </w:r>
          </w:p>
        </w:tc>
      </w:tr>
      <w:tr w:rsidR="00EE633F" w:rsidRPr="00180982" w14:paraId="3D5FC1C2" w14:textId="77777777">
        <w:trPr>
          <w:jc w:val="center"/>
        </w:trPr>
        <w:tc>
          <w:tcPr>
            <w:tcW w:w="2160" w:type="dxa"/>
            <w:shd w:val="clear" w:color="auto" w:fill="FFFFFF"/>
          </w:tcPr>
          <w:p w14:paraId="61B429E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 – Management Review</w:t>
            </w:r>
          </w:p>
        </w:tc>
        <w:tc>
          <w:tcPr>
            <w:tcW w:w="3600" w:type="dxa"/>
            <w:shd w:val="clear" w:color="auto" w:fill="FFFFFF"/>
          </w:tcPr>
          <w:p w14:paraId="57B98E0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Org structure, staffing plan, delivery model</w:t>
            </w:r>
          </w:p>
        </w:tc>
        <w:tc>
          <w:tcPr>
            <w:tcW w:w="3024" w:type="dxa"/>
            <w:shd w:val="clear" w:color="auto" w:fill="FFFFFF"/>
          </w:tcPr>
          <w:p w14:paraId="048A014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HR &amp; Operations Plan</w:t>
            </w:r>
          </w:p>
        </w:tc>
      </w:tr>
      <w:tr w:rsidR="00EE633F" w:rsidRPr="00180982" w14:paraId="0935AC74" w14:textId="77777777">
        <w:trPr>
          <w:jc w:val="center"/>
        </w:trPr>
        <w:tc>
          <w:tcPr>
            <w:tcW w:w="2160" w:type="dxa"/>
            <w:shd w:val="clear" w:color="auto" w:fill="EAF2FF"/>
          </w:tcPr>
          <w:p w14:paraId="1D98F57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5 – Financial Model</w:t>
            </w:r>
          </w:p>
        </w:tc>
        <w:tc>
          <w:tcPr>
            <w:tcW w:w="3600" w:type="dxa"/>
            <w:shd w:val="clear" w:color="auto" w:fill="EAF2FF"/>
          </w:tcPr>
          <w:p w14:paraId="100D7C5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CAPEX, OPEX, Revenue, NPV, IRR, Payback</w:t>
            </w:r>
          </w:p>
        </w:tc>
        <w:tc>
          <w:tcPr>
            <w:tcW w:w="3024" w:type="dxa"/>
            <w:shd w:val="clear" w:color="auto" w:fill="EAF2FF"/>
          </w:tcPr>
          <w:p w14:paraId="70690D7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Indicative financial model</w:t>
            </w:r>
          </w:p>
        </w:tc>
      </w:tr>
      <w:tr w:rsidR="00EE633F" w:rsidRPr="00180982" w14:paraId="72F5FF5F" w14:textId="77777777">
        <w:trPr>
          <w:jc w:val="center"/>
        </w:trPr>
        <w:tc>
          <w:tcPr>
            <w:tcW w:w="2160" w:type="dxa"/>
            <w:shd w:val="clear" w:color="auto" w:fill="FFFFFF"/>
          </w:tcPr>
          <w:p w14:paraId="6B25901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 – Risk Profile</w:t>
            </w:r>
          </w:p>
        </w:tc>
        <w:tc>
          <w:tcPr>
            <w:tcW w:w="3600" w:type="dxa"/>
            <w:shd w:val="clear" w:color="auto" w:fill="FFFFFF"/>
          </w:tcPr>
          <w:p w14:paraId="1B16AEA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5×5 risk matrix, mitigation measures</w:t>
            </w:r>
          </w:p>
        </w:tc>
        <w:tc>
          <w:tcPr>
            <w:tcW w:w="3024" w:type="dxa"/>
            <w:shd w:val="clear" w:color="auto" w:fill="FFFFFF"/>
          </w:tcPr>
          <w:p w14:paraId="5037424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Risk Register</w:t>
            </w:r>
          </w:p>
        </w:tc>
      </w:tr>
      <w:tr w:rsidR="00EE633F" w:rsidRPr="00180982" w14:paraId="7ACE4E9B" w14:textId="77777777">
        <w:trPr>
          <w:jc w:val="center"/>
        </w:trPr>
        <w:tc>
          <w:tcPr>
            <w:tcW w:w="2160" w:type="dxa"/>
            <w:shd w:val="clear" w:color="auto" w:fill="EAF2FF"/>
          </w:tcPr>
          <w:p w14:paraId="6252C31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7 – Recommendation</w:t>
            </w:r>
          </w:p>
        </w:tc>
        <w:tc>
          <w:tcPr>
            <w:tcW w:w="3600" w:type="dxa"/>
            <w:shd w:val="clear" w:color="auto" w:fill="EAF2FF"/>
          </w:tcPr>
          <w:p w14:paraId="1C1332A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Go / Conditional Go / No-Go decision support</w:t>
            </w:r>
          </w:p>
        </w:tc>
        <w:tc>
          <w:tcPr>
            <w:tcW w:w="3024" w:type="dxa"/>
            <w:shd w:val="clear" w:color="auto" w:fill="EAF2FF"/>
          </w:tcPr>
          <w:p w14:paraId="278A2C3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Executive Summary &amp; Action Plan</w:t>
            </w:r>
          </w:p>
        </w:tc>
      </w:tr>
    </w:tbl>
    <w:p w14:paraId="57AA8558" w14:textId="77777777" w:rsidR="00EE633F" w:rsidRPr="00180982" w:rsidRDefault="00EE633F">
      <w:pPr>
        <w:spacing w:after="80"/>
        <w:rPr>
          <w:rFonts w:asciiTheme="majorHAnsi" w:hAnsiTheme="majorHAnsi" w:cstheme="majorHAnsi"/>
        </w:rPr>
      </w:pPr>
    </w:p>
    <w:p w14:paraId="43CA76AE" w14:textId="77777777" w:rsidR="00EE633F" w:rsidRPr="00180982" w:rsidRDefault="00000000">
      <w:pPr>
        <w:spacing w:after="100"/>
        <w:rPr>
          <w:rFonts w:asciiTheme="majorHAnsi" w:hAnsiTheme="majorHAnsi" w:cstheme="majorHAnsi"/>
        </w:rPr>
      </w:pPr>
      <w:r w:rsidRPr="00180982">
        <w:rPr>
          <w:rFonts w:asciiTheme="majorHAnsi" w:hAnsiTheme="majorHAnsi" w:cstheme="majorHAnsi"/>
          <w:i/>
          <w:color w:val="7F8C8D"/>
          <w:sz w:val="17"/>
        </w:rPr>
        <w:t>Note: All financial figures in this sample are indicative and partially redacted (</w:t>
      </w:r>
      <w:r w:rsidRPr="00180982">
        <w:rPr>
          <w:rFonts w:ascii="Arial" w:hAnsi="Arial" w:cs="Arial"/>
          <w:i/>
          <w:color w:val="7F8C8D"/>
          <w:sz w:val="17"/>
        </w:rPr>
        <w:t>█</w:t>
      </w:r>
      <w:r w:rsidRPr="00180982">
        <w:rPr>
          <w:rFonts w:asciiTheme="majorHAnsi" w:hAnsiTheme="majorHAnsi" w:cstheme="majorHAnsi"/>
          <w:i/>
          <w:color w:val="7F8C8D"/>
          <w:sz w:val="17"/>
        </w:rPr>
        <w:t>). They reflect internally consistent relationships (positive NPV, IRR above hurdle, payback within assumed range) but must be replaced with actual project data and a full financial model before any capital commitment.</w:t>
      </w:r>
    </w:p>
    <w:p w14:paraId="4937D8C3" w14:textId="77777777" w:rsidR="00EE633F" w:rsidRPr="00180982" w:rsidRDefault="00000000">
      <w:pPr>
        <w:rPr>
          <w:rFonts w:asciiTheme="majorHAnsi" w:hAnsiTheme="majorHAnsi" w:cstheme="majorHAnsi"/>
        </w:rPr>
      </w:pPr>
      <w:r w:rsidRPr="00180982">
        <w:rPr>
          <w:rFonts w:asciiTheme="majorHAnsi" w:hAnsiTheme="majorHAnsi" w:cstheme="majorHAnsi"/>
        </w:rPr>
        <w:br w:type="page"/>
      </w:r>
    </w:p>
    <w:p w14:paraId="7E838BB9" w14:textId="77777777" w:rsidR="00EE633F" w:rsidRPr="00180982" w:rsidRDefault="00000000">
      <w:pPr>
        <w:spacing w:before="200" w:after="80"/>
        <w:rPr>
          <w:rFonts w:asciiTheme="majorHAnsi" w:hAnsiTheme="majorHAnsi" w:cstheme="majorHAnsi"/>
        </w:rPr>
      </w:pPr>
      <w:r w:rsidRPr="00180982">
        <w:rPr>
          <w:rFonts w:asciiTheme="majorHAnsi" w:hAnsiTheme="majorHAnsi" w:cstheme="majorHAnsi"/>
          <w:b/>
          <w:color w:val="1B4F72"/>
          <w:sz w:val="28"/>
        </w:rPr>
        <w:lastRenderedPageBreak/>
        <w:t>1.  Executive Summary</w:t>
      </w:r>
    </w:p>
    <w:p w14:paraId="17944513" w14:textId="77777777" w:rsidR="00EE633F" w:rsidRPr="00180982" w:rsidRDefault="00000000">
      <w:pPr>
        <w:rPr>
          <w:rFonts w:asciiTheme="majorHAnsi" w:hAnsiTheme="majorHAnsi" w:cstheme="majorHAnsi"/>
        </w:rPr>
      </w:pPr>
      <w:r w:rsidRPr="00180982">
        <w:rPr>
          <w:rFonts w:asciiTheme="majorHAnsi" w:hAnsiTheme="majorHAnsi" w:cstheme="majorHAnsi"/>
          <w:color w:val="BDC3C7"/>
          <w:sz w:val="14"/>
        </w:rPr>
        <w:t>──────────────────────────────────────────────────────────────────────────────────────────────────────────────</w:t>
      </w:r>
    </w:p>
    <w:p w14:paraId="3FD33D67" w14:textId="77777777" w:rsidR="00180982" w:rsidRDefault="00000000">
      <w:pPr>
        <w:spacing w:after="100"/>
        <w:rPr>
          <w:rFonts w:asciiTheme="majorHAnsi" w:hAnsiTheme="majorHAnsi" w:cstheme="majorHAnsi"/>
          <w:color w:val="17202A"/>
          <w:sz w:val="20"/>
        </w:rPr>
      </w:pPr>
      <w:r w:rsidRPr="00180982">
        <w:rPr>
          <w:rFonts w:asciiTheme="majorHAnsi" w:hAnsiTheme="majorHAnsi" w:cstheme="majorHAnsi"/>
          <w:color w:val="17202A"/>
          <w:sz w:val="20"/>
        </w:rPr>
        <w:t xml:space="preserve">This feasibility study assesses the viability of developing and operating a 120-room mid-market hotel in Nairobi, Kenya, under the working name "Atlantic Hospitality Hotel." </w:t>
      </w:r>
    </w:p>
    <w:p w14:paraId="2E2AAFF6" w14:textId="19753086" w:rsidR="00EE633F" w:rsidRPr="00180982" w:rsidRDefault="00000000">
      <w:pPr>
        <w:spacing w:after="100"/>
        <w:rPr>
          <w:rFonts w:asciiTheme="majorHAnsi" w:hAnsiTheme="majorHAnsi" w:cstheme="majorHAnsi"/>
        </w:rPr>
      </w:pPr>
      <w:r w:rsidRPr="00180982">
        <w:rPr>
          <w:rFonts w:asciiTheme="majorHAnsi" w:hAnsiTheme="majorHAnsi" w:cstheme="majorHAnsi"/>
          <w:color w:val="17202A"/>
          <w:sz w:val="20"/>
        </w:rPr>
        <w:t>The project targets business and leisure travellers in Nairobi's key commercial corridors, adopting a model combining direct ownership with professional local hotel management.</w:t>
      </w:r>
    </w:p>
    <w:p w14:paraId="383A20A1" w14:textId="77777777" w:rsidR="00180982" w:rsidRDefault="00180982">
      <w:pPr>
        <w:spacing w:before="120" w:after="60"/>
        <w:rPr>
          <w:rFonts w:asciiTheme="majorHAnsi" w:hAnsiTheme="majorHAnsi" w:cstheme="majorHAnsi"/>
          <w:b/>
          <w:color w:val="2E86C1"/>
          <w:sz w:val="23"/>
        </w:rPr>
      </w:pPr>
    </w:p>
    <w:p w14:paraId="36AD43D7" w14:textId="25E75F27" w:rsidR="00EE633F" w:rsidRPr="00180982" w:rsidRDefault="00000000">
      <w:pPr>
        <w:spacing w:before="120" w:after="60"/>
        <w:rPr>
          <w:rFonts w:asciiTheme="majorHAnsi" w:hAnsiTheme="majorHAnsi" w:cstheme="majorHAnsi"/>
        </w:rPr>
      </w:pPr>
      <w:proofErr w:type="gramStart"/>
      <w:r w:rsidRPr="00180982">
        <w:rPr>
          <w:rFonts w:asciiTheme="majorHAnsi" w:hAnsiTheme="majorHAnsi" w:cstheme="majorHAnsi"/>
          <w:b/>
          <w:color w:val="2E86C1"/>
          <w:sz w:val="23"/>
        </w:rPr>
        <w:t>1.1  Key</w:t>
      </w:r>
      <w:proofErr w:type="gramEnd"/>
      <w:r w:rsidRPr="00180982">
        <w:rPr>
          <w:rFonts w:asciiTheme="majorHAnsi" w:hAnsiTheme="majorHAnsi" w:cstheme="majorHAnsi"/>
          <w:b/>
          <w:color w:val="2E86C1"/>
          <w:sz w:val="23"/>
        </w:rPr>
        <w:t xml:space="preserve"> Findings Summary</w:t>
      </w:r>
    </w:p>
    <w:tbl>
      <w:tblPr>
        <w:tblStyle w:val="TableGrid"/>
        <w:tblW w:w="0" w:type="auto"/>
        <w:jc w:val="center"/>
        <w:tblLook w:val="04A0" w:firstRow="1" w:lastRow="0" w:firstColumn="1" w:lastColumn="0" w:noHBand="0" w:noVBand="1"/>
      </w:tblPr>
      <w:tblGrid>
        <w:gridCol w:w="1872"/>
        <w:gridCol w:w="4752"/>
        <w:gridCol w:w="1584"/>
      </w:tblGrid>
      <w:tr w:rsidR="00EE633F" w:rsidRPr="00180982" w14:paraId="2261B4AE" w14:textId="77777777">
        <w:trPr>
          <w:jc w:val="center"/>
        </w:trPr>
        <w:tc>
          <w:tcPr>
            <w:tcW w:w="1872" w:type="dxa"/>
            <w:shd w:val="clear" w:color="auto" w:fill="1B4F72"/>
          </w:tcPr>
          <w:p w14:paraId="30104FE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Dimension</w:t>
            </w:r>
          </w:p>
        </w:tc>
        <w:tc>
          <w:tcPr>
            <w:tcW w:w="4752" w:type="dxa"/>
            <w:shd w:val="clear" w:color="auto" w:fill="1B4F72"/>
          </w:tcPr>
          <w:p w14:paraId="7CD6C8C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Finding</w:t>
            </w:r>
          </w:p>
        </w:tc>
        <w:tc>
          <w:tcPr>
            <w:tcW w:w="1584" w:type="dxa"/>
            <w:shd w:val="clear" w:color="auto" w:fill="1B4F72"/>
          </w:tcPr>
          <w:p w14:paraId="56E1756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Assessment</w:t>
            </w:r>
          </w:p>
        </w:tc>
      </w:tr>
      <w:tr w:rsidR="00EE633F" w:rsidRPr="00180982" w14:paraId="2ED8B250" w14:textId="77777777">
        <w:trPr>
          <w:jc w:val="center"/>
        </w:trPr>
        <w:tc>
          <w:tcPr>
            <w:tcW w:w="1872" w:type="dxa"/>
            <w:shd w:val="clear" w:color="auto" w:fill="EAF2FF"/>
          </w:tcPr>
          <w:p w14:paraId="195D3CE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Market</w:t>
            </w:r>
          </w:p>
        </w:tc>
        <w:tc>
          <w:tcPr>
            <w:tcW w:w="4752" w:type="dxa"/>
            <w:shd w:val="clear" w:color="auto" w:fill="EAF2FF"/>
          </w:tcPr>
          <w:p w14:paraId="28F5F42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Mid-market hotel segment growing at ~6.5% p.a.; identifiable supply gap</w:t>
            </w:r>
          </w:p>
        </w:tc>
        <w:tc>
          <w:tcPr>
            <w:tcW w:w="1584" w:type="dxa"/>
            <w:shd w:val="clear" w:color="auto" w:fill="EAF2FF"/>
          </w:tcPr>
          <w:p w14:paraId="7EA5847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Positive</w:t>
            </w:r>
          </w:p>
        </w:tc>
      </w:tr>
      <w:tr w:rsidR="00EE633F" w:rsidRPr="00180982" w14:paraId="79EE725B" w14:textId="77777777">
        <w:trPr>
          <w:jc w:val="center"/>
        </w:trPr>
        <w:tc>
          <w:tcPr>
            <w:tcW w:w="1872" w:type="dxa"/>
            <w:shd w:val="clear" w:color="auto" w:fill="FFFFFF"/>
          </w:tcPr>
          <w:p w14:paraId="4A3D672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Technical</w:t>
            </w:r>
          </w:p>
        </w:tc>
        <w:tc>
          <w:tcPr>
            <w:tcW w:w="4752" w:type="dxa"/>
            <w:shd w:val="clear" w:color="auto" w:fill="FFFFFF"/>
          </w:tcPr>
          <w:p w14:paraId="30AA1C1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Suitable sites available; utilities confirmed; imported equipment lead time 10–14 weeks</w:t>
            </w:r>
          </w:p>
        </w:tc>
        <w:tc>
          <w:tcPr>
            <w:tcW w:w="1584" w:type="dxa"/>
            <w:shd w:val="clear" w:color="auto" w:fill="FFFFFF"/>
          </w:tcPr>
          <w:p w14:paraId="090402D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Positive</w:t>
            </w:r>
          </w:p>
        </w:tc>
      </w:tr>
      <w:tr w:rsidR="00EE633F" w:rsidRPr="00180982" w14:paraId="6F7915B2" w14:textId="77777777">
        <w:trPr>
          <w:jc w:val="center"/>
        </w:trPr>
        <w:tc>
          <w:tcPr>
            <w:tcW w:w="1872" w:type="dxa"/>
            <w:shd w:val="clear" w:color="auto" w:fill="EAF2FF"/>
          </w:tcPr>
          <w:p w14:paraId="4BA6155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Financial</w:t>
            </w:r>
          </w:p>
        </w:tc>
        <w:tc>
          <w:tcPr>
            <w:tcW w:w="4752" w:type="dxa"/>
            <w:shd w:val="clear" w:color="auto" w:fill="EAF2FF"/>
          </w:tcPr>
          <w:p w14:paraId="3D8E071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Positive NPV and IRR above hurdle in base case; payback ~3.5 years (redacted)</w:t>
            </w:r>
          </w:p>
        </w:tc>
        <w:tc>
          <w:tcPr>
            <w:tcW w:w="1584" w:type="dxa"/>
            <w:shd w:val="clear" w:color="auto" w:fill="EAF2FF"/>
          </w:tcPr>
          <w:p w14:paraId="0CB3F98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Positive</w:t>
            </w:r>
          </w:p>
        </w:tc>
      </w:tr>
      <w:tr w:rsidR="00EE633F" w:rsidRPr="00180982" w14:paraId="4ED8A4E7" w14:textId="77777777">
        <w:trPr>
          <w:jc w:val="center"/>
        </w:trPr>
        <w:tc>
          <w:tcPr>
            <w:tcW w:w="1872" w:type="dxa"/>
            <w:shd w:val="clear" w:color="auto" w:fill="FFFFFF"/>
          </w:tcPr>
          <w:p w14:paraId="1342437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Risk</w:t>
            </w:r>
          </w:p>
        </w:tc>
        <w:tc>
          <w:tcPr>
            <w:tcW w:w="4752" w:type="dxa"/>
            <w:shd w:val="clear" w:color="auto" w:fill="FFFFFF"/>
          </w:tcPr>
          <w:p w14:paraId="7022814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Key risks: regulatory delays, cost inflation, FX volatility; all mitigable</w:t>
            </w:r>
          </w:p>
        </w:tc>
        <w:tc>
          <w:tcPr>
            <w:tcW w:w="1584" w:type="dxa"/>
            <w:shd w:val="clear" w:color="auto" w:fill="FFFFFF"/>
          </w:tcPr>
          <w:p w14:paraId="76C7176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Manageable</w:t>
            </w:r>
          </w:p>
        </w:tc>
      </w:tr>
      <w:tr w:rsidR="00EE633F" w:rsidRPr="00180982" w14:paraId="30732D3F" w14:textId="77777777">
        <w:trPr>
          <w:jc w:val="center"/>
        </w:trPr>
        <w:tc>
          <w:tcPr>
            <w:tcW w:w="1872" w:type="dxa"/>
            <w:shd w:val="clear" w:color="auto" w:fill="EAF2FF"/>
          </w:tcPr>
          <w:p w14:paraId="683B027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Legal</w:t>
            </w:r>
          </w:p>
        </w:tc>
        <w:tc>
          <w:tcPr>
            <w:tcW w:w="4752" w:type="dxa"/>
            <w:shd w:val="clear" w:color="auto" w:fill="EAF2FF"/>
          </w:tcPr>
          <w:p w14:paraId="3ADA732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No prohibitive regulatory barriers identified; standard hotel licensing applies</w:t>
            </w:r>
          </w:p>
        </w:tc>
        <w:tc>
          <w:tcPr>
            <w:tcW w:w="1584" w:type="dxa"/>
            <w:shd w:val="clear" w:color="auto" w:fill="EAF2FF"/>
          </w:tcPr>
          <w:p w14:paraId="6981B7C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Positive</w:t>
            </w:r>
          </w:p>
        </w:tc>
      </w:tr>
      <w:tr w:rsidR="00EE633F" w:rsidRPr="00180982" w14:paraId="36D13FDB" w14:textId="77777777">
        <w:trPr>
          <w:jc w:val="center"/>
        </w:trPr>
        <w:tc>
          <w:tcPr>
            <w:tcW w:w="1872" w:type="dxa"/>
            <w:shd w:val="clear" w:color="auto" w:fill="FFFFFF"/>
          </w:tcPr>
          <w:p w14:paraId="4D9BA45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Environmental &amp; Social</w:t>
            </w:r>
          </w:p>
        </w:tc>
        <w:tc>
          <w:tcPr>
            <w:tcW w:w="4752" w:type="dxa"/>
            <w:shd w:val="clear" w:color="auto" w:fill="FFFFFF"/>
          </w:tcPr>
          <w:p w14:paraId="66FBE73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Job creation, local procurement, positive community impact</w:t>
            </w:r>
          </w:p>
        </w:tc>
        <w:tc>
          <w:tcPr>
            <w:tcW w:w="1584" w:type="dxa"/>
            <w:shd w:val="clear" w:color="auto" w:fill="FFFFFF"/>
          </w:tcPr>
          <w:p w14:paraId="68E1BB0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Positive</w:t>
            </w:r>
          </w:p>
        </w:tc>
      </w:tr>
    </w:tbl>
    <w:p w14:paraId="148B8A81" w14:textId="77777777" w:rsidR="00EE633F" w:rsidRPr="00180982" w:rsidRDefault="00EE633F">
      <w:pPr>
        <w:spacing w:after="80"/>
        <w:rPr>
          <w:rFonts w:asciiTheme="majorHAnsi" w:hAnsiTheme="majorHAnsi" w:cstheme="majorHAnsi"/>
        </w:rPr>
      </w:pPr>
    </w:p>
    <w:p w14:paraId="484D3774"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1.2  Preliminary Financial Snapshot (Indicative — Partially Redacted)</w:t>
      </w:r>
    </w:p>
    <w:tbl>
      <w:tblPr>
        <w:tblStyle w:val="TableGrid"/>
        <w:tblW w:w="0" w:type="auto"/>
        <w:jc w:val="center"/>
        <w:tblLook w:val="04A0" w:firstRow="1" w:lastRow="0" w:firstColumn="1" w:lastColumn="0" w:noHBand="0" w:noVBand="1"/>
      </w:tblPr>
      <w:tblGrid>
        <w:gridCol w:w="3024"/>
        <w:gridCol w:w="2736"/>
        <w:gridCol w:w="2880"/>
      </w:tblGrid>
      <w:tr w:rsidR="00EE633F" w:rsidRPr="00180982" w14:paraId="59B01A4C" w14:textId="77777777">
        <w:trPr>
          <w:jc w:val="center"/>
        </w:trPr>
        <w:tc>
          <w:tcPr>
            <w:tcW w:w="3024" w:type="dxa"/>
            <w:shd w:val="clear" w:color="auto" w:fill="1B4F72"/>
          </w:tcPr>
          <w:p w14:paraId="555526A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KPI</w:t>
            </w:r>
          </w:p>
        </w:tc>
        <w:tc>
          <w:tcPr>
            <w:tcW w:w="2736" w:type="dxa"/>
            <w:shd w:val="clear" w:color="auto" w:fill="1B4F72"/>
          </w:tcPr>
          <w:p w14:paraId="3EB8690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Indicative Value</w:t>
            </w:r>
          </w:p>
        </w:tc>
        <w:tc>
          <w:tcPr>
            <w:tcW w:w="2880" w:type="dxa"/>
            <w:shd w:val="clear" w:color="auto" w:fill="1B4F72"/>
          </w:tcPr>
          <w:p w14:paraId="43A2DAC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Note</w:t>
            </w:r>
          </w:p>
        </w:tc>
      </w:tr>
      <w:tr w:rsidR="00EE633F" w:rsidRPr="00180982" w14:paraId="6B0BE3C2" w14:textId="77777777">
        <w:trPr>
          <w:jc w:val="center"/>
        </w:trPr>
        <w:tc>
          <w:tcPr>
            <w:tcW w:w="3024" w:type="dxa"/>
            <w:shd w:val="clear" w:color="auto" w:fill="EAF2FF"/>
          </w:tcPr>
          <w:p w14:paraId="53EDC82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Total Rooms</w:t>
            </w:r>
          </w:p>
        </w:tc>
        <w:tc>
          <w:tcPr>
            <w:tcW w:w="2736" w:type="dxa"/>
            <w:shd w:val="clear" w:color="auto" w:fill="EAF2FF"/>
          </w:tcPr>
          <w:p w14:paraId="642535C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120 rooms</w:t>
            </w:r>
          </w:p>
        </w:tc>
        <w:tc>
          <w:tcPr>
            <w:tcW w:w="2880" w:type="dxa"/>
            <w:shd w:val="clear" w:color="auto" w:fill="EAF2FF"/>
          </w:tcPr>
          <w:p w14:paraId="028CB51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Mid-market city hotel</w:t>
            </w:r>
          </w:p>
        </w:tc>
      </w:tr>
      <w:tr w:rsidR="00EE633F" w:rsidRPr="00180982" w14:paraId="3AB9F3E6" w14:textId="77777777">
        <w:trPr>
          <w:jc w:val="center"/>
        </w:trPr>
        <w:tc>
          <w:tcPr>
            <w:tcW w:w="3024" w:type="dxa"/>
            <w:shd w:val="clear" w:color="auto" w:fill="FFFFFF"/>
          </w:tcPr>
          <w:p w14:paraId="422D705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Total CAPEX</w:t>
            </w:r>
          </w:p>
        </w:tc>
        <w:tc>
          <w:tcPr>
            <w:tcW w:w="2736" w:type="dxa"/>
            <w:shd w:val="clear" w:color="auto" w:fill="FFFFFF"/>
          </w:tcPr>
          <w:p w14:paraId="643C2C9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3,2</w:t>
            </w:r>
            <w:r w:rsidRPr="00180982">
              <w:rPr>
                <w:rFonts w:ascii="Arial" w:hAnsi="Arial" w:cs="Arial"/>
                <w:sz w:val="18"/>
              </w:rPr>
              <w:t>█</w:t>
            </w:r>
            <w:proofErr w:type="gramStart"/>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roofErr w:type="gramEnd"/>
            <w:r w:rsidRPr="00180982">
              <w:rPr>
                <w:rFonts w:ascii="Arial" w:hAnsi="Arial" w:cs="Arial"/>
                <w:sz w:val="18"/>
              </w:rPr>
              <w:t>██</w:t>
            </w:r>
          </w:p>
        </w:tc>
        <w:tc>
          <w:tcPr>
            <w:tcW w:w="2880" w:type="dxa"/>
            <w:shd w:val="clear" w:color="auto" w:fill="FFFFFF"/>
          </w:tcPr>
          <w:p w14:paraId="7387C5B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 xml:space="preserve">Figures redacted — redacted cells shown as </w:t>
            </w:r>
            <w:r w:rsidRPr="00180982">
              <w:rPr>
                <w:rFonts w:ascii="Arial" w:hAnsi="Arial" w:cs="Arial"/>
                <w:sz w:val="18"/>
              </w:rPr>
              <w:t>██</w:t>
            </w:r>
          </w:p>
        </w:tc>
      </w:tr>
      <w:tr w:rsidR="00EE633F" w:rsidRPr="00180982" w14:paraId="0CA59A4B" w14:textId="77777777">
        <w:trPr>
          <w:jc w:val="center"/>
        </w:trPr>
        <w:tc>
          <w:tcPr>
            <w:tcW w:w="3024" w:type="dxa"/>
            <w:shd w:val="clear" w:color="auto" w:fill="EAF2FF"/>
          </w:tcPr>
          <w:p w14:paraId="0ACE8B5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Year 1 Revenue</w:t>
            </w:r>
          </w:p>
        </w:tc>
        <w:tc>
          <w:tcPr>
            <w:tcW w:w="2736" w:type="dxa"/>
            <w:shd w:val="clear" w:color="auto" w:fill="EAF2FF"/>
          </w:tcPr>
          <w:p w14:paraId="30C502D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2,1</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880" w:type="dxa"/>
            <w:shd w:val="clear" w:color="auto" w:fill="EAF2FF"/>
          </w:tcPr>
          <w:p w14:paraId="110BCC3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Based on ADR × Occupancy × Rooms</w:t>
            </w:r>
          </w:p>
        </w:tc>
      </w:tr>
      <w:tr w:rsidR="00EE633F" w:rsidRPr="00180982" w14:paraId="58C25012" w14:textId="77777777">
        <w:trPr>
          <w:jc w:val="center"/>
        </w:trPr>
        <w:tc>
          <w:tcPr>
            <w:tcW w:w="3024" w:type="dxa"/>
            <w:shd w:val="clear" w:color="auto" w:fill="FFFFFF"/>
          </w:tcPr>
          <w:p w14:paraId="481CF9F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Year 1 Operating Cost</w:t>
            </w:r>
          </w:p>
        </w:tc>
        <w:tc>
          <w:tcPr>
            <w:tcW w:w="2736" w:type="dxa"/>
            <w:shd w:val="clear" w:color="auto" w:fill="FFFFFF"/>
          </w:tcPr>
          <w:p w14:paraId="1AADBCC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1,2</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880" w:type="dxa"/>
            <w:shd w:val="clear" w:color="auto" w:fill="FFFFFF"/>
          </w:tcPr>
          <w:p w14:paraId="16305F3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Staff, utilities, marketing, G&amp;A</w:t>
            </w:r>
          </w:p>
        </w:tc>
      </w:tr>
      <w:tr w:rsidR="00EE633F" w:rsidRPr="00180982" w14:paraId="10C143BF" w14:textId="77777777">
        <w:trPr>
          <w:jc w:val="center"/>
        </w:trPr>
        <w:tc>
          <w:tcPr>
            <w:tcW w:w="3024" w:type="dxa"/>
            <w:shd w:val="clear" w:color="auto" w:fill="EAF2FF"/>
          </w:tcPr>
          <w:p w14:paraId="3186A31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EBITDA (Year 1)</w:t>
            </w:r>
          </w:p>
        </w:tc>
        <w:tc>
          <w:tcPr>
            <w:tcW w:w="2736" w:type="dxa"/>
            <w:shd w:val="clear" w:color="auto" w:fill="EAF2FF"/>
          </w:tcPr>
          <w:p w14:paraId="152CBB4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2</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880" w:type="dxa"/>
            <w:shd w:val="clear" w:color="auto" w:fill="EAF2FF"/>
          </w:tcPr>
          <w:p w14:paraId="70192C3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Positive; actual figure redacted</w:t>
            </w:r>
          </w:p>
        </w:tc>
      </w:tr>
      <w:tr w:rsidR="00EE633F" w:rsidRPr="00180982" w14:paraId="17D85BED" w14:textId="77777777">
        <w:trPr>
          <w:jc w:val="center"/>
        </w:trPr>
        <w:tc>
          <w:tcPr>
            <w:tcW w:w="3024" w:type="dxa"/>
            <w:shd w:val="clear" w:color="auto" w:fill="FFFFFF"/>
          </w:tcPr>
          <w:p w14:paraId="6150B83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Gross Profit Margin (Y1)</w:t>
            </w:r>
          </w:p>
        </w:tc>
        <w:tc>
          <w:tcPr>
            <w:tcW w:w="2736" w:type="dxa"/>
            <w:shd w:val="clear" w:color="auto" w:fill="FFFFFF"/>
          </w:tcPr>
          <w:p w14:paraId="70B93C2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~40%</w:t>
            </w:r>
          </w:p>
        </w:tc>
        <w:tc>
          <w:tcPr>
            <w:tcW w:w="2880" w:type="dxa"/>
            <w:shd w:val="clear" w:color="auto" w:fill="FFFFFF"/>
          </w:tcPr>
          <w:p w14:paraId="0D447F6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Indicative</w:t>
            </w:r>
          </w:p>
        </w:tc>
      </w:tr>
      <w:tr w:rsidR="00EE633F" w:rsidRPr="00180982" w14:paraId="5FDBD84A" w14:textId="77777777">
        <w:trPr>
          <w:jc w:val="center"/>
        </w:trPr>
        <w:tc>
          <w:tcPr>
            <w:tcW w:w="3024" w:type="dxa"/>
            <w:shd w:val="clear" w:color="auto" w:fill="EAF2FF"/>
          </w:tcPr>
          <w:p w14:paraId="624B4DD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Payback Period</w:t>
            </w:r>
          </w:p>
        </w:tc>
        <w:tc>
          <w:tcPr>
            <w:tcW w:w="2736" w:type="dxa"/>
            <w:shd w:val="clear" w:color="auto" w:fill="EAF2FF"/>
          </w:tcPr>
          <w:p w14:paraId="7DF61A8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~3.5 years (range: 3.2–4.5)</w:t>
            </w:r>
          </w:p>
        </w:tc>
        <w:tc>
          <w:tcPr>
            <w:tcW w:w="2880" w:type="dxa"/>
            <w:shd w:val="clear" w:color="auto" w:fill="EAF2FF"/>
          </w:tcPr>
          <w:p w14:paraId="65649CA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Base case</w:t>
            </w:r>
          </w:p>
        </w:tc>
      </w:tr>
      <w:tr w:rsidR="00EE633F" w:rsidRPr="00180982" w14:paraId="779688BE" w14:textId="77777777">
        <w:trPr>
          <w:jc w:val="center"/>
        </w:trPr>
        <w:tc>
          <w:tcPr>
            <w:tcW w:w="3024" w:type="dxa"/>
            <w:shd w:val="clear" w:color="auto" w:fill="FFFFFF"/>
          </w:tcPr>
          <w:p w14:paraId="10056C3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NPV @ 10% Discount Rate</w:t>
            </w:r>
          </w:p>
        </w:tc>
        <w:tc>
          <w:tcPr>
            <w:tcW w:w="2736" w:type="dxa"/>
            <w:shd w:val="clear" w:color="auto" w:fill="FFFFFF"/>
          </w:tcPr>
          <w:p w14:paraId="3B166CC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Positive (USD 4</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r w:rsidRPr="00180982">
              <w:rPr>
                <w:rFonts w:asciiTheme="majorHAnsi" w:hAnsiTheme="majorHAnsi" w:cstheme="majorHAnsi"/>
                <w:sz w:val="18"/>
              </w:rPr>
              <w:t>)</w:t>
            </w:r>
          </w:p>
        </w:tc>
        <w:tc>
          <w:tcPr>
            <w:tcW w:w="2880" w:type="dxa"/>
            <w:shd w:val="clear" w:color="auto" w:fill="FFFFFF"/>
          </w:tcPr>
          <w:p w14:paraId="6658CBF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Actual figure redacted</w:t>
            </w:r>
          </w:p>
        </w:tc>
      </w:tr>
      <w:tr w:rsidR="00EE633F" w:rsidRPr="00180982" w14:paraId="77A06EBF" w14:textId="77777777">
        <w:trPr>
          <w:jc w:val="center"/>
        </w:trPr>
        <w:tc>
          <w:tcPr>
            <w:tcW w:w="3024" w:type="dxa"/>
            <w:shd w:val="clear" w:color="auto" w:fill="EAF2FF"/>
          </w:tcPr>
          <w:p w14:paraId="6508C71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IRR</w:t>
            </w:r>
          </w:p>
        </w:tc>
        <w:tc>
          <w:tcPr>
            <w:tcW w:w="2736" w:type="dxa"/>
            <w:shd w:val="clear" w:color="auto" w:fill="EAF2FF"/>
          </w:tcPr>
          <w:p w14:paraId="1CCA0D0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~18%–23% range</w:t>
            </w:r>
          </w:p>
        </w:tc>
        <w:tc>
          <w:tcPr>
            <w:tcW w:w="2880" w:type="dxa"/>
            <w:shd w:val="clear" w:color="auto" w:fill="EAF2FF"/>
          </w:tcPr>
          <w:p w14:paraId="0E62995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Scenario-dependent; not finalised</w:t>
            </w:r>
          </w:p>
        </w:tc>
      </w:tr>
      <w:tr w:rsidR="00EE633F" w:rsidRPr="00180982" w14:paraId="69F64F4F" w14:textId="77777777">
        <w:trPr>
          <w:jc w:val="center"/>
        </w:trPr>
        <w:tc>
          <w:tcPr>
            <w:tcW w:w="3024" w:type="dxa"/>
            <w:shd w:val="clear" w:color="auto" w:fill="FFFFFF"/>
          </w:tcPr>
          <w:p w14:paraId="60C589A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Break-even Occupancy</w:t>
            </w:r>
          </w:p>
        </w:tc>
        <w:tc>
          <w:tcPr>
            <w:tcW w:w="2736" w:type="dxa"/>
            <w:shd w:val="clear" w:color="auto" w:fill="FFFFFF"/>
          </w:tcPr>
          <w:p w14:paraId="153F881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~48% of capacity</w:t>
            </w:r>
          </w:p>
        </w:tc>
        <w:tc>
          <w:tcPr>
            <w:tcW w:w="2880" w:type="dxa"/>
            <w:shd w:val="clear" w:color="auto" w:fill="FFFFFF"/>
          </w:tcPr>
          <w:p w14:paraId="4154B6D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Indicative daily</w:t>
            </w:r>
          </w:p>
        </w:tc>
      </w:tr>
    </w:tbl>
    <w:p w14:paraId="294D6C4E" w14:textId="77777777" w:rsidR="00EE633F" w:rsidRPr="00180982" w:rsidRDefault="00EE633F">
      <w:pPr>
        <w:spacing w:after="80"/>
        <w:rPr>
          <w:rFonts w:asciiTheme="majorHAnsi" w:hAnsiTheme="majorHAnsi" w:cstheme="majorHAnsi"/>
        </w:rPr>
      </w:pPr>
    </w:p>
    <w:p w14:paraId="1A40C7AD"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1.3  Recommendation (Summary)</w:t>
      </w:r>
    </w:p>
    <w:p w14:paraId="4238FB6F" w14:textId="77777777" w:rsidR="00EE633F" w:rsidRPr="00180982" w:rsidRDefault="00000000">
      <w:pPr>
        <w:spacing w:after="100"/>
        <w:rPr>
          <w:rFonts w:asciiTheme="majorHAnsi" w:hAnsiTheme="majorHAnsi" w:cstheme="majorHAnsi"/>
        </w:rPr>
      </w:pPr>
      <w:r w:rsidRPr="00180982">
        <w:rPr>
          <w:rFonts w:asciiTheme="majorHAnsi" w:hAnsiTheme="majorHAnsi" w:cstheme="majorHAnsi"/>
          <w:color w:val="17202A"/>
          <w:sz w:val="20"/>
        </w:rPr>
        <w:t>The project is directionally viable under base-case assumptions. Ur-Serv recommends proceeding to a full-scope, country-level feasibility study encompassing primary field research, rigorous site verification, confirmed supplier quotations, and a final regulatory review before committing capital.</w:t>
      </w:r>
    </w:p>
    <w:p w14:paraId="1F12A505" w14:textId="77777777" w:rsidR="00EE633F" w:rsidRPr="00180982" w:rsidRDefault="00000000">
      <w:pPr>
        <w:rPr>
          <w:rFonts w:asciiTheme="majorHAnsi" w:hAnsiTheme="majorHAnsi" w:cstheme="majorHAnsi"/>
        </w:rPr>
      </w:pPr>
      <w:r w:rsidRPr="00180982">
        <w:rPr>
          <w:rFonts w:asciiTheme="majorHAnsi" w:hAnsiTheme="majorHAnsi" w:cstheme="majorHAnsi"/>
        </w:rPr>
        <w:br w:type="page"/>
      </w:r>
    </w:p>
    <w:p w14:paraId="29518689" w14:textId="77777777" w:rsidR="00EE633F" w:rsidRPr="00180982" w:rsidRDefault="00000000">
      <w:pPr>
        <w:spacing w:before="200" w:after="80"/>
        <w:rPr>
          <w:rFonts w:asciiTheme="majorHAnsi" w:hAnsiTheme="majorHAnsi" w:cstheme="majorHAnsi"/>
        </w:rPr>
      </w:pPr>
      <w:r w:rsidRPr="00180982">
        <w:rPr>
          <w:rFonts w:asciiTheme="majorHAnsi" w:hAnsiTheme="majorHAnsi" w:cstheme="majorHAnsi"/>
          <w:b/>
          <w:color w:val="1B4F72"/>
          <w:sz w:val="28"/>
        </w:rPr>
        <w:lastRenderedPageBreak/>
        <w:t>2.  Project Overview</w:t>
      </w:r>
    </w:p>
    <w:p w14:paraId="37A307D1" w14:textId="77777777" w:rsidR="00EE633F" w:rsidRPr="00180982" w:rsidRDefault="00000000">
      <w:pPr>
        <w:rPr>
          <w:rFonts w:asciiTheme="majorHAnsi" w:hAnsiTheme="majorHAnsi" w:cstheme="majorHAnsi"/>
        </w:rPr>
      </w:pPr>
      <w:r w:rsidRPr="00180982">
        <w:rPr>
          <w:rFonts w:asciiTheme="majorHAnsi" w:hAnsiTheme="majorHAnsi" w:cstheme="majorHAnsi"/>
          <w:color w:val="BDC3C7"/>
          <w:sz w:val="14"/>
        </w:rPr>
        <w:t>──────────────────────────────────────────────────────────────────────────────────────────────────────────────</w:t>
      </w:r>
    </w:p>
    <w:p w14:paraId="046FB2CC"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2.1  Project Purpose</w:t>
      </w:r>
    </w:p>
    <w:p w14:paraId="6058232F" w14:textId="77777777" w:rsidR="00180982" w:rsidRDefault="00000000">
      <w:pPr>
        <w:spacing w:after="100"/>
        <w:rPr>
          <w:rFonts w:asciiTheme="majorHAnsi" w:hAnsiTheme="majorHAnsi" w:cstheme="majorHAnsi"/>
          <w:color w:val="17202A"/>
          <w:sz w:val="20"/>
        </w:rPr>
      </w:pPr>
      <w:r w:rsidRPr="00180982">
        <w:rPr>
          <w:rFonts w:asciiTheme="majorHAnsi" w:hAnsiTheme="majorHAnsi" w:cstheme="majorHAnsi"/>
          <w:color w:val="17202A"/>
          <w:sz w:val="20"/>
        </w:rPr>
        <w:t xml:space="preserve">To develop and operate a professionally managed mid-market hotel in Nairobi, Kenya, serving business travellers, regional tourists, and events groups. </w:t>
      </w:r>
    </w:p>
    <w:p w14:paraId="4C2AF5BB" w14:textId="29028294" w:rsidR="00EE633F" w:rsidRPr="00180982" w:rsidRDefault="00000000">
      <w:pPr>
        <w:spacing w:after="100"/>
        <w:rPr>
          <w:rFonts w:asciiTheme="majorHAnsi" w:hAnsiTheme="majorHAnsi" w:cstheme="majorHAnsi"/>
        </w:rPr>
      </w:pPr>
      <w:r w:rsidRPr="00180982">
        <w:rPr>
          <w:rFonts w:asciiTheme="majorHAnsi" w:hAnsiTheme="majorHAnsi" w:cstheme="majorHAnsi"/>
          <w:color w:val="17202A"/>
          <w:sz w:val="20"/>
        </w:rPr>
        <w:t>The hotel will leverage proximity to Jomo Kenyatta International Airport (JKIA) and key business districts, offering reliable accommodation, food &amp; beverage services, and meeting facilities.</w:t>
      </w:r>
    </w:p>
    <w:p w14:paraId="39888EF7" w14:textId="77777777" w:rsidR="00180982" w:rsidRDefault="00180982">
      <w:pPr>
        <w:spacing w:before="120" w:after="60"/>
        <w:rPr>
          <w:rFonts w:asciiTheme="majorHAnsi" w:hAnsiTheme="majorHAnsi" w:cstheme="majorHAnsi"/>
          <w:b/>
          <w:color w:val="2E86C1"/>
          <w:sz w:val="23"/>
        </w:rPr>
      </w:pPr>
    </w:p>
    <w:p w14:paraId="2721D490" w14:textId="304A9D7D" w:rsidR="00EE633F" w:rsidRPr="00180982" w:rsidRDefault="00000000">
      <w:pPr>
        <w:spacing w:before="120" w:after="60"/>
        <w:rPr>
          <w:rFonts w:asciiTheme="majorHAnsi" w:hAnsiTheme="majorHAnsi" w:cstheme="majorHAnsi"/>
        </w:rPr>
      </w:pPr>
      <w:proofErr w:type="gramStart"/>
      <w:r w:rsidRPr="00180982">
        <w:rPr>
          <w:rFonts w:asciiTheme="majorHAnsi" w:hAnsiTheme="majorHAnsi" w:cstheme="majorHAnsi"/>
          <w:b/>
          <w:color w:val="2E86C1"/>
          <w:sz w:val="23"/>
        </w:rPr>
        <w:t>2.2  Project</w:t>
      </w:r>
      <w:proofErr w:type="gramEnd"/>
      <w:r w:rsidRPr="00180982">
        <w:rPr>
          <w:rFonts w:asciiTheme="majorHAnsi" w:hAnsiTheme="majorHAnsi" w:cstheme="majorHAnsi"/>
          <w:b/>
          <w:color w:val="2E86C1"/>
          <w:sz w:val="23"/>
        </w:rPr>
        <w:t xml:space="preserve"> Description</w:t>
      </w:r>
    </w:p>
    <w:tbl>
      <w:tblPr>
        <w:tblStyle w:val="TableGrid"/>
        <w:tblW w:w="0" w:type="auto"/>
        <w:jc w:val="center"/>
        <w:tblLook w:val="04A0" w:firstRow="1" w:lastRow="0" w:firstColumn="1" w:lastColumn="0" w:noHBand="0" w:noVBand="1"/>
      </w:tblPr>
      <w:tblGrid>
        <w:gridCol w:w="3168"/>
        <w:gridCol w:w="5616"/>
      </w:tblGrid>
      <w:tr w:rsidR="00EE633F" w:rsidRPr="00180982" w14:paraId="030C3E6C" w14:textId="77777777">
        <w:trPr>
          <w:jc w:val="center"/>
        </w:trPr>
        <w:tc>
          <w:tcPr>
            <w:tcW w:w="3168" w:type="dxa"/>
            <w:shd w:val="clear" w:color="auto" w:fill="1B4F72"/>
          </w:tcPr>
          <w:p w14:paraId="57E452A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Parameter</w:t>
            </w:r>
          </w:p>
        </w:tc>
        <w:tc>
          <w:tcPr>
            <w:tcW w:w="5616" w:type="dxa"/>
            <w:shd w:val="clear" w:color="auto" w:fill="1B4F72"/>
          </w:tcPr>
          <w:p w14:paraId="6D44CA2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Description</w:t>
            </w:r>
          </w:p>
        </w:tc>
      </w:tr>
      <w:tr w:rsidR="00EE633F" w:rsidRPr="00180982" w14:paraId="23B1034B" w14:textId="77777777">
        <w:trPr>
          <w:jc w:val="center"/>
        </w:trPr>
        <w:tc>
          <w:tcPr>
            <w:tcW w:w="3168" w:type="dxa"/>
            <w:shd w:val="clear" w:color="auto" w:fill="EAF2FF"/>
          </w:tcPr>
          <w:p w14:paraId="07C3594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Concept</w:t>
            </w:r>
          </w:p>
        </w:tc>
        <w:tc>
          <w:tcPr>
            <w:tcW w:w="5616" w:type="dxa"/>
            <w:shd w:val="clear" w:color="auto" w:fill="EAF2FF"/>
          </w:tcPr>
          <w:p w14:paraId="6C44BA6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Mid-market city hotel — reliable, value-for-money positioning</w:t>
            </w:r>
          </w:p>
        </w:tc>
      </w:tr>
      <w:tr w:rsidR="00EE633F" w:rsidRPr="00180982" w14:paraId="04E0C712" w14:textId="77777777">
        <w:trPr>
          <w:jc w:val="center"/>
        </w:trPr>
        <w:tc>
          <w:tcPr>
            <w:tcW w:w="3168" w:type="dxa"/>
            <w:shd w:val="clear" w:color="auto" w:fill="FFFFFF"/>
          </w:tcPr>
          <w:p w14:paraId="58D809D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Total Rooms</w:t>
            </w:r>
          </w:p>
        </w:tc>
        <w:tc>
          <w:tcPr>
            <w:tcW w:w="5616" w:type="dxa"/>
            <w:shd w:val="clear" w:color="auto" w:fill="FFFFFF"/>
          </w:tcPr>
          <w:p w14:paraId="72FD924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120 rooms (mix: Standard, Deluxe, Suites — TBD)</w:t>
            </w:r>
          </w:p>
        </w:tc>
      </w:tr>
      <w:tr w:rsidR="00EE633F" w:rsidRPr="00180982" w14:paraId="553AB28B" w14:textId="77777777">
        <w:trPr>
          <w:jc w:val="center"/>
        </w:trPr>
        <w:tc>
          <w:tcPr>
            <w:tcW w:w="3168" w:type="dxa"/>
            <w:shd w:val="clear" w:color="auto" w:fill="EAF2FF"/>
          </w:tcPr>
          <w:p w14:paraId="3E41AFF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Facilities</w:t>
            </w:r>
          </w:p>
        </w:tc>
        <w:tc>
          <w:tcPr>
            <w:tcW w:w="5616" w:type="dxa"/>
            <w:shd w:val="clear" w:color="auto" w:fill="EAF2FF"/>
          </w:tcPr>
          <w:p w14:paraId="790879E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Lobby, all-day dining restaurant, business lounge, fitness centre, 3 meeting rooms (~150 pax)</w:t>
            </w:r>
          </w:p>
        </w:tc>
      </w:tr>
      <w:tr w:rsidR="00EE633F" w:rsidRPr="00180982" w14:paraId="0B9286E9" w14:textId="77777777">
        <w:trPr>
          <w:jc w:val="center"/>
        </w:trPr>
        <w:tc>
          <w:tcPr>
            <w:tcW w:w="3168" w:type="dxa"/>
            <w:shd w:val="clear" w:color="auto" w:fill="FFFFFF"/>
          </w:tcPr>
          <w:p w14:paraId="47E06DE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Target Guests</w:t>
            </w:r>
          </w:p>
        </w:tc>
        <w:tc>
          <w:tcPr>
            <w:tcW w:w="5616" w:type="dxa"/>
            <w:shd w:val="clear" w:color="auto" w:fill="FFFFFF"/>
          </w:tcPr>
          <w:p w14:paraId="07E587A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Corporate (40%), Leisure &amp; Regional (35%), Groups &amp; Events (25%)</w:t>
            </w:r>
          </w:p>
        </w:tc>
      </w:tr>
      <w:tr w:rsidR="00EE633F" w:rsidRPr="00180982" w14:paraId="7C6C29AC" w14:textId="77777777">
        <w:trPr>
          <w:jc w:val="center"/>
        </w:trPr>
        <w:tc>
          <w:tcPr>
            <w:tcW w:w="3168" w:type="dxa"/>
            <w:shd w:val="clear" w:color="auto" w:fill="EAF2FF"/>
          </w:tcPr>
          <w:p w14:paraId="0F4E5FA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Delivery Model</w:t>
            </w:r>
          </w:p>
        </w:tc>
        <w:tc>
          <w:tcPr>
            <w:tcW w:w="5616" w:type="dxa"/>
            <w:shd w:val="clear" w:color="auto" w:fill="EAF2FF"/>
          </w:tcPr>
          <w:p w14:paraId="4CB9512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Owner-operated with a specialist local hotel management company</w:t>
            </w:r>
          </w:p>
        </w:tc>
      </w:tr>
      <w:tr w:rsidR="00EE633F" w:rsidRPr="00180982" w14:paraId="75164827" w14:textId="77777777">
        <w:trPr>
          <w:jc w:val="center"/>
        </w:trPr>
        <w:tc>
          <w:tcPr>
            <w:tcW w:w="3168" w:type="dxa"/>
            <w:shd w:val="clear" w:color="auto" w:fill="FFFFFF"/>
          </w:tcPr>
          <w:p w14:paraId="5C87B52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Staff at Stabilisation</w:t>
            </w:r>
          </w:p>
        </w:tc>
        <w:tc>
          <w:tcPr>
            <w:tcW w:w="5616" w:type="dxa"/>
            <w:shd w:val="clear" w:color="auto" w:fill="FFFFFF"/>
          </w:tcPr>
          <w:p w14:paraId="5D3C806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~65 full-time employees</w:t>
            </w:r>
          </w:p>
        </w:tc>
      </w:tr>
    </w:tbl>
    <w:p w14:paraId="72DAF979" w14:textId="77777777" w:rsidR="00EE633F" w:rsidRPr="00180982" w:rsidRDefault="00EE633F">
      <w:pPr>
        <w:spacing w:after="80"/>
        <w:rPr>
          <w:rFonts w:asciiTheme="majorHAnsi" w:hAnsiTheme="majorHAnsi" w:cstheme="majorHAnsi"/>
        </w:rPr>
      </w:pPr>
    </w:p>
    <w:p w14:paraId="55A19A28"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2.3  Study Scope &amp; Exclusions</w:t>
      </w:r>
    </w:p>
    <w:tbl>
      <w:tblPr>
        <w:tblStyle w:val="TableGrid"/>
        <w:tblW w:w="0" w:type="auto"/>
        <w:jc w:val="center"/>
        <w:tblLook w:val="04A0" w:firstRow="1" w:lastRow="0" w:firstColumn="1" w:lastColumn="0" w:noHBand="0" w:noVBand="1"/>
      </w:tblPr>
      <w:tblGrid>
        <w:gridCol w:w="4320"/>
        <w:gridCol w:w="4320"/>
      </w:tblGrid>
      <w:tr w:rsidR="00EE633F" w:rsidRPr="00180982" w14:paraId="356B2967" w14:textId="77777777">
        <w:trPr>
          <w:jc w:val="center"/>
        </w:trPr>
        <w:tc>
          <w:tcPr>
            <w:tcW w:w="4320" w:type="dxa"/>
            <w:shd w:val="clear" w:color="auto" w:fill="1B4F72"/>
          </w:tcPr>
          <w:p w14:paraId="33A3CC7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In Scope</w:t>
            </w:r>
          </w:p>
        </w:tc>
        <w:tc>
          <w:tcPr>
            <w:tcW w:w="4320" w:type="dxa"/>
            <w:shd w:val="clear" w:color="auto" w:fill="1B4F72"/>
          </w:tcPr>
          <w:p w14:paraId="2DE7EC9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Excluded from This Sample</w:t>
            </w:r>
          </w:p>
        </w:tc>
      </w:tr>
      <w:tr w:rsidR="00EE633F" w:rsidRPr="00180982" w14:paraId="0B5D646A" w14:textId="77777777">
        <w:trPr>
          <w:jc w:val="center"/>
        </w:trPr>
        <w:tc>
          <w:tcPr>
            <w:tcW w:w="4320" w:type="dxa"/>
            <w:shd w:val="clear" w:color="auto" w:fill="EAF2FF"/>
          </w:tcPr>
          <w:p w14:paraId="6B202D2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Market assessment &amp; demand analysis</w:t>
            </w:r>
          </w:p>
        </w:tc>
        <w:tc>
          <w:tcPr>
            <w:tcW w:w="4320" w:type="dxa"/>
            <w:shd w:val="clear" w:color="auto" w:fill="EAF2FF"/>
          </w:tcPr>
          <w:p w14:paraId="4C704D9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Detailed architectural &amp; engineering drawings</w:t>
            </w:r>
          </w:p>
        </w:tc>
      </w:tr>
      <w:tr w:rsidR="00EE633F" w:rsidRPr="00180982" w14:paraId="2449A4B7" w14:textId="77777777">
        <w:trPr>
          <w:jc w:val="center"/>
        </w:trPr>
        <w:tc>
          <w:tcPr>
            <w:tcW w:w="4320" w:type="dxa"/>
            <w:shd w:val="clear" w:color="auto" w:fill="FFFFFF"/>
          </w:tcPr>
          <w:p w14:paraId="18E1DFB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Technical &amp; operational review</w:t>
            </w:r>
          </w:p>
        </w:tc>
        <w:tc>
          <w:tcPr>
            <w:tcW w:w="4320" w:type="dxa"/>
            <w:shd w:val="clear" w:color="auto" w:fill="FFFFFF"/>
          </w:tcPr>
          <w:p w14:paraId="2C506BF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Full Environmental Impact Assessment (EIA)</w:t>
            </w:r>
          </w:p>
        </w:tc>
      </w:tr>
      <w:tr w:rsidR="00EE633F" w:rsidRPr="00180982" w14:paraId="14E4D51F" w14:textId="77777777">
        <w:trPr>
          <w:jc w:val="center"/>
        </w:trPr>
        <w:tc>
          <w:tcPr>
            <w:tcW w:w="4320" w:type="dxa"/>
            <w:shd w:val="clear" w:color="auto" w:fill="EAF2FF"/>
          </w:tcPr>
          <w:p w14:paraId="3840C1B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Indicative financial model (redacted)</w:t>
            </w:r>
          </w:p>
        </w:tc>
        <w:tc>
          <w:tcPr>
            <w:tcW w:w="4320" w:type="dxa"/>
            <w:shd w:val="clear" w:color="auto" w:fill="EAF2FF"/>
          </w:tcPr>
          <w:p w14:paraId="275577E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Final licences &amp; permits</w:t>
            </w:r>
          </w:p>
        </w:tc>
      </w:tr>
      <w:tr w:rsidR="00EE633F" w:rsidRPr="00180982" w14:paraId="0470919C" w14:textId="77777777">
        <w:trPr>
          <w:jc w:val="center"/>
        </w:trPr>
        <w:tc>
          <w:tcPr>
            <w:tcW w:w="4320" w:type="dxa"/>
            <w:shd w:val="clear" w:color="auto" w:fill="FFFFFF"/>
          </w:tcPr>
          <w:p w14:paraId="29D0CCB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Risk register</w:t>
            </w:r>
          </w:p>
        </w:tc>
        <w:tc>
          <w:tcPr>
            <w:tcW w:w="4320" w:type="dxa"/>
            <w:shd w:val="clear" w:color="auto" w:fill="FFFFFF"/>
          </w:tcPr>
          <w:p w14:paraId="4A49989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Confirmed supplier &amp; contractor quotations</w:t>
            </w:r>
          </w:p>
        </w:tc>
      </w:tr>
      <w:tr w:rsidR="00EE633F" w:rsidRPr="00180982" w14:paraId="2484D44F" w14:textId="77777777">
        <w:trPr>
          <w:jc w:val="center"/>
        </w:trPr>
        <w:tc>
          <w:tcPr>
            <w:tcW w:w="4320" w:type="dxa"/>
            <w:shd w:val="clear" w:color="auto" w:fill="EAF2FF"/>
          </w:tcPr>
          <w:p w14:paraId="6D8EC79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Recommendation &amp; next-steps roadmap</w:t>
            </w:r>
          </w:p>
        </w:tc>
        <w:tc>
          <w:tcPr>
            <w:tcW w:w="4320" w:type="dxa"/>
            <w:shd w:val="clear" w:color="auto" w:fill="EAF2FF"/>
          </w:tcPr>
          <w:p w14:paraId="198BD55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Brand selection &amp; franchise agreements</w:t>
            </w:r>
          </w:p>
        </w:tc>
      </w:tr>
    </w:tbl>
    <w:p w14:paraId="16D1A2C8" w14:textId="77777777" w:rsidR="00EE633F" w:rsidRPr="00180982" w:rsidRDefault="00EE633F">
      <w:pPr>
        <w:spacing w:after="80"/>
        <w:rPr>
          <w:rFonts w:asciiTheme="majorHAnsi" w:hAnsiTheme="majorHAnsi" w:cstheme="majorHAnsi"/>
        </w:rPr>
      </w:pPr>
    </w:p>
    <w:p w14:paraId="035EA275"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2.4  Critical Success Factors</w:t>
      </w:r>
    </w:p>
    <w:p w14:paraId="608B2723"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19"/>
        </w:rPr>
        <w:t>• Competitive room rates and adequate occupancy levels relative to comparable properties in the target catchment.</w:t>
      </w:r>
    </w:p>
    <w:p w14:paraId="5569523D"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19"/>
        </w:rPr>
        <w:t>• Reliable supply chain and local partnerships to control operating costs and service quality.</w:t>
      </w:r>
    </w:p>
    <w:p w14:paraId="4484D6E9"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19"/>
        </w:rPr>
        <w:t>• Timely regulatory approvals and full compliance from pre-opening through operations.</w:t>
      </w:r>
    </w:p>
    <w:p w14:paraId="37357FF0"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19"/>
        </w:rPr>
        <w:t>• Established corporate sales base before opening — minimum 30% of occupancy on pre-signed contracts.</w:t>
      </w:r>
    </w:p>
    <w:p w14:paraId="1A79E51E"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19"/>
        </w:rPr>
        <w:t>• Experienced local management team with a proven track record in East African hospitality.</w:t>
      </w:r>
    </w:p>
    <w:p w14:paraId="51577BF3" w14:textId="77777777" w:rsidR="00EE633F" w:rsidRPr="00180982" w:rsidRDefault="00000000">
      <w:pPr>
        <w:rPr>
          <w:rFonts w:asciiTheme="majorHAnsi" w:hAnsiTheme="majorHAnsi" w:cstheme="majorHAnsi"/>
        </w:rPr>
      </w:pPr>
      <w:r w:rsidRPr="00180982">
        <w:rPr>
          <w:rFonts w:asciiTheme="majorHAnsi" w:hAnsiTheme="majorHAnsi" w:cstheme="majorHAnsi"/>
        </w:rPr>
        <w:br w:type="page"/>
      </w:r>
    </w:p>
    <w:p w14:paraId="243B0121" w14:textId="77777777" w:rsidR="00EE633F" w:rsidRPr="00180982" w:rsidRDefault="00000000">
      <w:pPr>
        <w:spacing w:before="200" w:after="80"/>
        <w:rPr>
          <w:rFonts w:asciiTheme="majorHAnsi" w:hAnsiTheme="majorHAnsi" w:cstheme="majorHAnsi"/>
        </w:rPr>
      </w:pPr>
      <w:r w:rsidRPr="00180982">
        <w:rPr>
          <w:rFonts w:asciiTheme="majorHAnsi" w:hAnsiTheme="majorHAnsi" w:cstheme="majorHAnsi"/>
          <w:b/>
          <w:color w:val="1B4F72"/>
          <w:sz w:val="28"/>
        </w:rPr>
        <w:lastRenderedPageBreak/>
        <w:t>3.  Market Assessment</w:t>
      </w:r>
    </w:p>
    <w:p w14:paraId="06A71F64" w14:textId="77777777" w:rsidR="00EE633F" w:rsidRPr="00180982" w:rsidRDefault="00000000">
      <w:pPr>
        <w:rPr>
          <w:rFonts w:asciiTheme="majorHAnsi" w:hAnsiTheme="majorHAnsi" w:cstheme="majorHAnsi"/>
        </w:rPr>
      </w:pPr>
      <w:r w:rsidRPr="00180982">
        <w:rPr>
          <w:rFonts w:asciiTheme="majorHAnsi" w:hAnsiTheme="majorHAnsi" w:cstheme="majorHAnsi"/>
          <w:color w:val="BDC3C7"/>
          <w:sz w:val="14"/>
        </w:rPr>
        <w:t>──────────────────────────────────────────────────────────────────────────────────────────────────────────────</w:t>
      </w:r>
    </w:p>
    <w:p w14:paraId="546BEEFB"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3.1  Nairobi Hospitality Market Overview</w:t>
      </w:r>
    </w:p>
    <w:p w14:paraId="5091AB6E" w14:textId="77777777" w:rsidR="00180982" w:rsidRDefault="00000000">
      <w:pPr>
        <w:spacing w:after="100"/>
        <w:rPr>
          <w:rFonts w:asciiTheme="majorHAnsi" w:hAnsiTheme="majorHAnsi" w:cstheme="majorHAnsi"/>
          <w:color w:val="17202A"/>
          <w:sz w:val="20"/>
        </w:rPr>
      </w:pPr>
      <w:r w:rsidRPr="00180982">
        <w:rPr>
          <w:rFonts w:asciiTheme="majorHAnsi" w:hAnsiTheme="majorHAnsi" w:cstheme="majorHAnsi"/>
          <w:color w:val="17202A"/>
          <w:sz w:val="20"/>
        </w:rPr>
        <w:t xml:space="preserve">Nairobi's hospitality sector has demonstrated strong recovery and expansion in the aftermath of COVID-19 disruptions, driven by the return of business travel, regional trade flows, MICE activity, and the growing domestic middle-class leisure market. </w:t>
      </w:r>
    </w:p>
    <w:p w14:paraId="4BBC011A" w14:textId="46E1694E" w:rsidR="00EE633F" w:rsidRPr="00180982" w:rsidRDefault="00000000">
      <w:pPr>
        <w:spacing w:after="100"/>
        <w:rPr>
          <w:rFonts w:asciiTheme="majorHAnsi" w:hAnsiTheme="majorHAnsi" w:cstheme="majorHAnsi"/>
        </w:rPr>
      </w:pPr>
      <w:r w:rsidRPr="00180982">
        <w:rPr>
          <w:rFonts w:asciiTheme="majorHAnsi" w:hAnsiTheme="majorHAnsi" w:cstheme="majorHAnsi"/>
          <w:color w:val="17202A"/>
          <w:sz w:val="20"/>
        </w:rPr>
        <w:t>Kenya's Tourism Regulatory Authority (TRA) and independent research consistently identify the mid-market segment as an undersupplied opportunity for professionally managed new supply.</w:t>
      </w:r>
    </w:p>
    <w:p w14:paraId="305DA1AD" w14:textId="77777777" w:rsidR="00180982" w:rsidRDefault="00000000">
      <w:pPr>
        <w:spacing w:after="100"/>
        <w:rPr>
          <w:rFonts w:asciiTheme="majorHAnsi" w:hAnsiTheme="majorHAnsi" w:cstheme="majorHAnsi"/>
          <w:color w:val="17202A"/>
          <w:sz w:val="20"/>
        </w:rPr>
      </w:pPr>
      <w:r w:rsidRPr="00180982">
        <w:rPr>
          <w:rFonts w:asciiTheme="majorHAnsi" w:hAnsiTheme="majorHAnsi" w:cstheme="majorHAnsi"/>
          <w:color w:val="17202A"/>
          <w:sz w:val="20"/>
        </w:rPr>
        <w:t xml:space="preserve">Average room rates across Sub-Saharan Africa grew ~19% between 2023 and 2024, with Nairobi recording an all-property average daily rate of approximately USD 124 per night in 2024 (Hotel.Report, 2024). </w:t>
      </w:r>
    </w:p>
    <w:p w14:paraId="06832E32" w14:textId="7F6A697B" w:rsidR="00EE633F" w:rsidRPr="00180982" w:rsidRDefault="00000000">
      <w:pPr>
        <w:spacing w:after="100"/>
        <w:rPr>
          <w:rFonts w:asciiTheme="majorHAnsi" w:hAnsiTheme="majorHAnsi" w:cstheme="majorHAnsi"/>
        </w:rPr>
      </w:pPr>
      <w:r w:rsidRPr="00180982">
        <w:rPr>
          <w:rFonts w:asciiTheme="majorHAnsi" w:hAnsiTheme="majorHAnsi" w:cstheme="majorHAnsi"/>
          <w:color w:val="17202A"/>
          <w:sz w:val="20"/>
        </w:rPr>
        <w:t>The mid-market sub-segment (ADR range USD 60–100 depending on location) benefits from stable corporate demand and is less exposed to the cyclicality of the luxury segment. The mid-market hotel segment is projected to grow at ~6.5% per annum over the study horizon.</w:t>
      </w:r>
    </w:p>
    <w:p w14:paraId="6D783CDB" w14:textId="77777777" w:rsidR="00180982" w:rsidRDefault="00180982">
      <w:pPr>
        <w:spacing w:before="120" w:after="60"/>
        <w:rPr>
          <w:rFonts w:asciiTheme="majorHAnsi" w:hAnsiTheme="majorHAnsi" w:cstheme="majorHAnsi"/>
          <w:b/>
          <w:color w:val="2E86C1"/>
          <w:sz w:val="23"/>
        </w:rPr>
      </w:pPr>
    </w:p>
    <w:p w14:paraId="718FEF48" w14:textId="1310256B" w:rsidR="00EE633F" w:rsidRPr="00180982" w:rsidRDefault="00000000">
      <w:pPr>
        <w:spacing w:before="120" w:after="60"/>
        <w:rPr>
          <w:rFonts w:asciiTheme="majorHAnsi" w:hAnsiTheme="majorHAnsi" w:cstheme="majorHAnsi"/>
        </w:rPr>
      </w:pPr>
      <w:proofErr w:type="gramStart"/>
      <w:r w:rsidRPr="00180982">
        <w:rPr>
          <w:rFonts w:asciiTheme="majorHAnsi" w:hAnsiTheme="majorHAnsi" w:cstheme="majorHAnsi"/>
          <w:b/>
          <w:color w:val="2E86C1"/>
          <w:sz w:val="23"/>
        </w:rPr>
        <w:t>3.2  Demand</w:t>
      </w:r>
      <w:proofErr w:type="gramEnd"/>
      <w:r w:rsidRPr="00180982">
        <w:rPr>
          <w:rFonts w:asciiTheme="majorHAnsi" w:hAnsiTheme="majorHAnsi" w:cstheme="majorHAnsi"/>
          <w:b/>
          <w:color w:val="2E86C1"/>
          <w:sz w:val="23"/>
        </w:rPr>
        <w:t xml:space="preserve"> Segmentation</w:t>
      </w:r>
    </w:p>
    <w:tbl>
      <w:tblPr>
        <w:tblStyle w:val="TableGrid"/>
        <w:tblW w:w="0" w:type="auto"/>
        <w:jc w:val="center"/>
        <w:tblLook w:val="04A0" w:firstRow="1" w:lastRow="0" w:firstColumn="1" w:lastColumn="0" w:noHBand="0" w:noVBand="1"/>
      </w:tblPr>
      <w:tblGrid>
        <w:gridCol w:w="2304"/>
        <w:gridCol w:w="1296"/>
        <w:gridCol w:w="2448"/>
        <w:gridCol w:w="2592"/>
      </w:tblGrid>
      <w:tr w:rsidR="00EE633F" w:rsidRPr="00180982" w14:paraId="1BE8804B" w14:textId="77777777">
        <w:trPr>
          <w:jc w:val="center"/>
        </w:trPr>
        <w:tc>
          <w:tcPr>
            <w:tcW w:w="2304" w:type="dxa"/>
            <w:shd w:val="clear" w:color="auto" w:fill="1B4F72"/>
          </w:tcPr>
          <w:p w14:paraId="39DB830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Segment</w:t>
            </w:r>
          </w:p>
        </w:tc>
        <w:tc>
          <w:tcPr>
            <w:tcW w:w="1296" w:type="dxa"/>
            <w:shd w:val="clear" w:color="auto" w:fill="1B4F72"/>
          </w:tcPr>
          <w:p w14:paraId="353FB17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Target Share</w:t>
            </w:r>
          </w:p>
        </w:tc>
        <w:tc>
          <w:tcPr>
            <w:tcW w:w="2448" w:type="dxa"/>
            <w:shd w:val="clear" w:color="auto" w:fill="1B4F72"/>
          </w:tcPr>
          <w:p w14:paraId="6788D67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Profile</w:t>
            </w:r>
          </w:p>
        </w:tc>
        <w:tc>
          <w:tcPr>
            <w:tcW w:w="2592" w:type="dxa"/>
            <w:shd w:val="clear" w:color="auto" w:fill="1B4F72"/>
          </w:tcPr>
          <w:p w14:paraId="0799373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Key Drivers</w:t>
            </w:r>
          </w:p>
        </w:tc>
      </w:tr>
      <w:tr w:rsidR="00EE633F" w:rsidRPr="00180982" w14:paraId="6D5F6FBA" w14:textId="77777777">
        <w:trPr>
          <w:jc w:val="center"/>
        </w:trPr>
        <w:tc>
          <w:tcPr>
            <w:tcW w:w="2304" w:type="dxa"/>
            <w:shd w:val="clear" w:color="auto" w:fill="EAF2FF"/>
          </w:tcPr>
          <w:p w14:paraId="418E770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Corporate / Business</w:t>
            </w:r>
          </w:p>
        </w:tc>
        <w:tc>
          <w:tcPr>
            <w:tcW w:w="1296" w:type="dxa"/>
            <w:shd w:val="clear" w:color="auto" w:fill="EAF2FF"/>
          </w:tcPr>
          <w:p w14:paraId="1178B00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40%</w:t>
            </w:r>
          </w:p>
        </w:tc>
        <w:tc>
          <w:tcPr>
            <w:tcW w:w="2448" w:type="dxa"/>
            <w:shd w:val="clear" w:color="auto" w:fill="EAF2FF"/>
          </w:tcPr>
          <w:p w14:paraId="5E0561F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Regional &amp; international business travellers, corporate accounts with extended stays</w:t>
            </w:r>
          </w:p>
        </w:tc>
        <w:tc>
          <w:tcPr>
            <w:tcW w:w="2592" w:type="dxa"/>
            <w:shd w:val="clear" w:color="auto" w:fill="EAF2FF"/>
          </w:tcPr>
          <w:p w14:paraId="0F8B484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Trade, banking, professional services</w:t>
            </w:r>
          </w:p>
        </w:tc>
      </w:tr>
      <w:tr w:rsidR="00EE633F" w:rsidRPr="00180982" w14:paraId="23BD2B89" w14:textId="77777777">
        <w:trPr>
          <w:jc w:val="center"/>
        </w:trPr>
        <w:tc>
          <w:tcPr>
            <w:tcW w:w="2304" w:type="dxa"/>
            <w:shd w:val="clear" w:color="auto" w:fill="FFFFFF"/>
          </w:tcPr>
          <w:p w14:paraId="014E206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Leisure &amp; Regional Tourism</w:t>
            </w:r>
          </w:p>
        </w:tc>
        <w:tc>
          <w:tcPr>
            <w:tcW w:w="1296" w:type="dxa"/>
            <w:shd w:val="clear" w:color="auto" w:fill="FFFFFF"/>
          </w:tcPr>
          <w:p w14:paraId="2D3E677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35%</w:t>
            </w:r>
          </w:p>
        </w:tc>
        <w:tc>
          <w:tcPr>
            <w:tcW w:w="2448" w:type="dxa"/>
            <w:shd w:val="clear" w:color="auto" w:fill="FFFFFF"/>
          </w:tcPr>
          <w:p w14:paraId="4E1300D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East African regional visitors, entertainment &amp; city tourism</w:t>
            </w:r>
          </w:p>
        </w:tc>
        <w:tc>
          <w:tcPr>
            <w:tcW w:w="2592" w:type="dxa"/>
            <w:shd w:val="clear" w:color="auto" w:fill="FFFFFF"/>
          </w:tcPr>
          <w:p w14:paraId="4A15071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Tourism recovery, growing regional middle class</w:t>
            </w:r>
          </w:p>
        </w:tc>
      </w:tr>
      <w:tr w:rsidR="00EE633F" w:rsidRPr="00180982" w14:paraId="68F823A3" w14:textId="77777777">
        <w:trPr>
          <w:jc w:val="center"/>
        </w:trPr>
        <w:tc>
          <w:tcPr>
            <w:tcW w:w="2304" w:type="dxa"/>
            <w:shd w:val="clear" w:color="auto" w:fill="EAF2FF"/>
          </w:tcPr>
          <w:p w14:paraId="2B3BF32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Groups, MICE &amp; Events</w:t>
            </w:r>
          </w:p>
        </w:tc>
        <w:tc>
          <w:tcPr>
            <w:tcW w:w="1296" w:type="dxa"/>
            <w:shd w:val="clear" w:color="auto" w:fill="EAF2FF"/>
          </w:tcPr>
          <w:p w14:paraId="35EAC9A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25%</w:t>
            </w:r>
          </w:p>
        </w:tc>
        <w:tc>
          <w:tcPr>
            <w:tcW w:w="2448" w:type="dxa"/>
            <w:shd w:val="clear" w:color="auto" w:fill="EAF2FF"/>
          </w:tcPr>
          <w:p w14:paraId="0B45BF0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Conferences, workshops, government delegations</w:t>
            </w:r>
          </w:p>
        </w:tc>
        <w:tc>
          <w:tcPr>
            <w:tcW w:w="2592" w:type="dxa"/>
            <w:shd w:val="clear" w:color="auto" w:fill="EAF2FF"/>
          </w:tcPr>
          <w:p w14:paraId="0DBEBA2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Nairobi as regional conference hub</w:t>
            </w:r>
          </w:p>
        </w:tc>
      </w:tr>
    </w:tbl>
    <w:p w14:paraId="127C0A45" w14:textId="77777777" w:rsidR="00EE633F" w:rsidRPr="00180982" w:rsidRDefault="00EE633F">
      <w:pPr>
        <w:spacing w:after="80"/>
        <w:rPr>
          <w:rFonts w:asciiTheme="majorHAnsi" w:hAnsiTheme="majorHAnsi" w:cstheme="majorHAnsi"/>
        </w:rPr>
      </w:pPr>
    </w:p>
    <w:p w14:paraId="3BA2BBAE" w14:textId="77777777" w:rsidR="00EE633F" w:rsidRPr="00180982" w:rsidRDefault="00000000">
      <w:pPr>
        <w:jc w:val="center"/>
        <w:rPr>
          <w:rFonts w:asciiTheme="majorHAnsi" w:hAnsiTheme="majorHAnsi" w:cstheme="majorHAnsi"/>
        </w:rPr>
      </w:pPr>
      <w:r w:rsidRPr="00180982">
        <w:rPr>
          <w:rFonts w:asciiTheme="majorHAnsi" w:hAnsiTheme="majorHAnsi" w:cstheme="majorHAnsi"/>
          <w:noProof/>
        </w:rPr>
        <w:drawing>
          <wp:inline distT="0" distB="0" distL="0" distR="0" wp14:anchorId="14DEC67A" wp14:editId="4170E18E">
            <wp:extent cx="4389120" cy="32582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hotel_segments.png"/>
                    <pic:cNvPicPr/>
                  </pic:nvPicPr>
                  <pic:blipFill>
                    <a:blip r:embed="rId8"/>
                    <a:stretch>
                      <a:fillRect/>
                    </a:stretch>
                  </pic:blipFill>
                  <pic:spPr>
                    <a:xfrm>
                      <a:off x="0" y="0"/>
                      <a:ext cx="4389120" cy="3258212"/>
                    </a:xfrm>
                    <a:prstGeom prst="rect">
                      <a:avLst/>
                    </a:prstGeom>
                  </pic:spPr>
                </pic:pic>
              </a:graphicData>
            </a:graphic>
          </wp:inline>
        </w:drawing>
      </w:r>
    </w:p>
    <w:p w14:paraId="40017C32" w14:textId="77777777" w:rsidR="00180982" w:rsidRDefault="00180982">
      <w:pPr>
        <w:spacing w:before="120" w:after="60"/>
        <w:rPr>
          <w:rFonts w:asciiTheme="majorHAnsi" w:hAnsiTheme="majorHAnsi" w:cstheme="majorHAnsi"/>
          <w:b/>
          <w:color w:val="2E86C1"/>
          <w:sz w:val="23"/>
        </w:rPr>
      </w:pPr>
    </w:p>
    <w:p w14:paraId="6D06C80B" w14:textId="38C3863C" w:rsidR="00EE633F" w:rsidRPr="00180982" w:rsidRDefault="00000000">
      <w:pPr>
        <w:spacing w:before="120" w:after="60"/>
        <w:rPr>
          <w:rFonts w:asciiTheme="majorHAnsi" w:hAnsiTheme="majorHAnsi" w:cstheme="majorHAnsi"/>
        </w:rPr>
      </w:pPr>
      <w:proofErr w:type="gramStart"/>
      <w:r w:rsidRPr="00180982">
        <w:rPr>
          <w:rFonts w:asciiTheme="majorHAnsi" w:hAnsiTheme="majorHAnsi" w:cstheme="majorHAnsi"/>
          <w:b/>
          <w:color w:val="2E86C1"/>
          <w:sz w:val="23"/>
        </w:rPr>
        <w:lastRenderedPageBreak/>
        <w:t>3.3  Competitive</w:t>
      </w:r>
      <w:proofErr w:type="gramEnd"/>
      <w:r w:rsidRPr="00180982">
        <w:rPr>
          <w:rFonts w:asciiTheme="majorHAnsi" w:hAnsiTheme="majorHAnsi" w:cstheme="majorHAnsi"/>
          <w:b/>
          <w:color w:val="2E86C1"/>
          <w:sz w:val="23"/>
        </w:rPr>
        <w:t xml:space="preserve"> Landscape</w:t>
      </w:r>
    </w:p>
    <w:p w14:paraId="53A4B2A1" w14:textId="77777777" w:rsidR="00180982" w:rsidRDefault="00000000">
      <w:pPr>
        <w:spacing w:after="100"/>
        <w:rPr>
          <w:rFonts w:asciiTheme="majorHAnsi" w:hAnsiTheme="majorHAnsi" w:cstheme="majorHAnsi"/>
          <w:color w:val="17202A"/>
          <w:sz w:val="20"/>
        </w:rPr>
      </w:pPr>
      <w:r w:rsidRPr="00180982">
        <w:rPr>
          <w:rFonts w:asciiTheme="majorHAnsi" w:hAnsiTheme="majorHAnsi" w:cstheme="majorHAnsi"/>
          <w:color w:val="17202A"/>
          <w:sz w:val="20"/>
        </w:rPr>
        <w:t xml:space="preserve">The mid-market segment in Nairobi features moderate competition, combining international branded chains and independent properties. </w:t>
      </w:r>
    </w:p>
    <w:p w14:paraId="383532ED" w14:textId="1406602F" w:rsidR="00EE633F" w:rsidRPr="00180982" w:rsidRDefault="00000000">
      <w:pPr>
        <w:spacing w:after="100"/>
        <w:rPr>
          <w:rFonts w:asciiTheme="majorHAnsi" w:hAnsiTheme="majorHAnsi" w:cstheme="majorHAnsi"/>
        </w:rPr>
      </w:pPr>
      <w:r w:rsidRPr="00180982">
        <w:rPr>
          <w:rFonts w:asciiTheme="majorHAnsi" w:hAnsiTheme="majorHAnsi" w:cstheme="majorHAnsi"/>
          <w:color w:val="17202A"/>
          <w:sz w:val="20"/>
        </w:rPr>
        <w:t>Key competitive dimensions include: location (airport proximity or CBD), service reliability, competitive corporate pricing, and meeting room capacity.</w:t>
      </w:r>
    </w:p>
    <w:tbl>
      <w:tblPr>
        <w:tblStyle w:val="TableGrid"/>
        <w:tblW w:w="0" w:type="auto"/>
        <w:jc w:val="center"/>
        <w:tblLook w:val="04A0" w:firstRow="1" w:lastRow="0" w:firstColumn="1" w:lastColumn="0" w:noHBand="0" w:noVBand="1"/>
      </w:tblPr>
      <w:tblGrid>
        <w:gridCol w:w="2592"/>
        <w:gridCol w:w="2160"/>
        <w:gridCol w:w="2016"/>
        <w:gridCol w:w="2016"/>
      </w:tblGrid>
      <w:tr w:rsidR="00EE633F" w:rsidRPr="00180982" w14:paraId="1793576E" w14:textId="77777777">
        <w:trPr>
          <w:jc w:val="center"/>
        </w:trPr>
        <w:tc>
          <w:tcPr>
            <w:tcW w:w="2592" w:type="dxa"/>
            <w:shd w:val="clear" w:color="auto" w:fill="1B4F72"/>
          </w:tcPr>
          <w:p w14:paraId="6BEF7B5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Competitor Type</w:t>
            </w:r>
          </w:p>
        </w:tc>
        <w:tc>
          <w:tcPr>
            <w:tcW w:w="2160" w:type="dxa"/>
            <w:shd w:val="clear" w:color="auto" w:fill="1B4F72"/>
          </w:tcPr>
          <w:p w14:paraId="5D5BE99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Positioning</w:t>
            </w:r>
          </w:p>
        </w:tc>
        <w:tc>
          <w:tcPr>
            <w:tcW w:w="2016" w:type="dxa"/>
            <w:shd w:val="clear" w:color="auto" w:fill="1B4F72"/>
          </w:tcPr>
          <w:p w14:paraId="2A1CFAD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Typical ADR Range</w:t>
            </w:r>
          </w:p>
        </w:tc>
        <w:tc>
          <w:tcPr>
            <w:tcW w:w="2016" w:type="dxa"/>
            <w:shd w:val="clear" w:color="auto" w:fill="1B4F72"/>
          </w:tcPr>
          <w:p w14:paraId="34CF80F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Competitive Threat</w:t>
            </w:r>
          </w:p>
        </w:tc>
      </w:tr>
      <w:tr w:rsidR="00EE633F" w:rsidRPr="00180982" w14:paraId="64011E94" w14:textId="77777777">
        <w:trPr>
          <w:jc w:val="center"/>
        </w:trPr>
        <w:tc>
          <w:tcPr>
            <w:tcW w:w="2592" w:type="dxa"/>
            <w:shd w:val="clear" w:color="auto" w:fill="EAF2FF"/>
          </w:tcPr>
          <w:p w14:paraId="0A8DC65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International Mid-Scale Chain</w:t>
            </w:r>
          </w:p>
        </w:tc>
        <w:tc>
          <w:tcPr>
            <w:tcW w:w="2160" w:type="dxa"/>
            <w:shd w:val="clear" w:color="auto" w:fill="EAF2FF"/>
          </w:tcPr>
          <w:p w14:paraId="7BFDE37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Consistent quality, loyalty programmes</w:t>
            </w:r>
          </w:p>
        </w:tc>
        <w:tc>
          <w:tcPr>
            <w:tcW w:w="2016" w:type="dxa"/>
            <w:shd w:val="clear" w:color="auto" w:fill="EAF2FF"/>
          </w:tcPr>
          <w:p w14:paraId="560C6ED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80–110</w:t>
            </w:r>
          </w:p>
        </w:tc>
        <w:tc>
          <w:tcPr>
            <w:tcW w:w="2016" w:type="dxa"/>
            <w:shd w:val="clear" w:color="auto" w:fill="EAF2FF"/>
          </w:tcPr>
          <w:p w14:paraId="360474C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High — direct competition</w:t>
            </w:r>
          </w:p>
        </w:tc>
      </w:tr>
      <w:tr w:rsidR="00EE633F" w:rsidRPr="00180982" w14:paraId="3E4D3F86" w14:textId="77777777">
        <w:trPr>
          <w:jc w:val="center"/>
        </w:trPr>
        <w:tc>
          <w:tcPr>
            <w:tcW w:w="2592" w:type="dxa"/>
            <w:shd w:val="clear" w:color="auto" w:fill="FFFFFF"/>
          </w:tcPr>
          <w:p w14:paraId="19FF129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Independent Mid-Market Hotel</w:t>
            </w:r>
          </w:p>
        </w:tc>
        <w:tc>
          <w:tcPr>
            <w:tcW w:w="2160" w:type="dxa"/>
            <w:shd w:val="clear" w:color="auto" w:fill="FFFFFF"/>
          </w:tcPr>
          <w:p w14:paraId="697A251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Local character, flexible pricing</w:t>
            </w:r>
          </w:p>
        </w:tc>
        <w:tc>
          <w:tcPr>
            <w:tcW w:w="2016" w:type="dxa"/>
            <w:shd w:val="clear" w:color="auto" w:fill="FFFFFF"/>
          </w:tcPr>
          <w:p w14:paraId="0DEDE09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60–90</w:t>
            </w:r>
          </w:p>
        </w:tc>
        <w:tc>
          <w:tcPr>
            <w:tcW w:w="2016" w:type="dxa"/>
            <w:shd w:val="clear" w:color="auto" w:fill="FFFFFF"/>
          </w:tcPr>
          <w:p w14:paraId="79CCBBC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Medium — less consistent service</w:t>
            </w:r>
          </w:p>
        </w:tc>
      </w:tr>
      <w:tr w:rsidR="00EE633F" w:rsidRPr="00180982" w14:paraId="625ACB94" w14:textId="77777777">
        <w:trPr>
          <w:jc w:val="center"/>
        </w:trPr>
        <w:tc>
          <w:tcPr>
            <w:tcW w:w="2592" w:type="dxa"/>
            <w:shd w:val="clear" w:color="auto" w:fill="EAF2FF"/>
          </w:tcPr>
          <w:p w14:paraId="348ADD5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International Economy Chain</w:t>
            </w:r>
          </w:p>
        </w:tc>
        <w:tc>
          <w:tcPr>
            <w:tcW w:w="2160" w:type="dxa"/>
            <w:shd w:val="clear" w:color="auto" w:fill="EAF2FF"/>
          </w:tcPr>
          <w:p w14:paraId="4E5AD88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Price leadership, standardised product</w:t>
            </w:r>
          </w:p>
        </w:tc>
        <w:tc>
          <w:tcPr>
            <w:tcW w:w="2016" w:type="dxa"/>
            <w:shd w:val="clear" w:color="auto" w:fill="EAF2FF"/>
          </w:tcPr>
          <w:p w14:paraId="0E329A0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50–75</w:t>
            </w:r>
          </w:p>
        </w:tc>
        <w:tc>
          <w:tcPr>
            <w:tcW w:w="2016" w:type="dxa"/>
            <w:shd w:val="clear" w:color="auto" w:fill="EAF2FF"/>
          </w:tcPr>
          <w:p w14:paraId="464BBB3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Medium — different value proposition</w:t>
            </w:r>
          </w:p>
        </w:tc>
      </w:tr>
      <w:tr w:rsidR="00EE633F" w:rsidRPr="00180982" w14:paraId="256CCDBC" w14:textId="77777777">
        <w:trPr>
          <w:jc w:val="center"/>
        </w:trPr>
        <w:tc>
          <w:tcPr>
            <w:tcW w:w="2592" w:type="dxa"/>
            <w:shd w:val="clear" w:color="auto" w:fill="FFFFFF"/>
          </w:tcPr>
          <w:p w14:paraId="5040E45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Serviced Apartments</w:t>
            </w:r>
          </w:p>
        </w:tc>
        <w:tc>
          <w:tcPr>
            <w:tcW w:w="2160" w:type="dxa"/>
            <w:shd w:val="clear" w:color="auto" w:fill="FFFFFF"/>
          </w:tcPr>
          <w:p w14:paraId="648526A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Long-stay focus, kitchen facilities</w:t>
            </w:r>
          </w:p>
        </w:tc>
        <w:tc>
          <w:tcPr>
            <w:tcW w:w="2016" w:type="dxa"/>
            <w:shd w:val="clear" w:color="auto" w:fill="FFFFFF"/>
          </w:tcPr>
          <w:p w14:paraId="6328222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70–100 equiv./night</w:t>
            </w:r>
          </w:p>
        </w:tc>
        <w:tc>
          <w:tcPr>
            <w:tcW w:w="2016" w:type="dxa"/>
            <w:shd w:val="clear" w:color="auto" w:fill="FFFFFF"/>
          </w:tcPr>
          <w:p w14:paraId="15B3952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Low–Medium — different stay pattern</w:t>
            </w:r>
          </w:p>
        </w:tc>
      </w:tr>
      <w:tr w:rsidR="00EE633F" w:rsidRPr="00180982" w14:paraId="6F706F18" w14:textId="77777777">
        <w:trPr>
          <w:jc w:val="center"/>
        </w:trPr>
        <w:tc>
          <w:tcPr>
            <w:tcW w:w="2592" w:type="dxa"/>
            <w:shd w:val="clear" w:color="auto" w:fill="EAF2FF"/>
          </w:tcPr>
          <w:p w14:paraId="5A1D685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Atlantic Hotel (Proposed)</w:t>
            </w:r>
          </w:p>
        </w:tc>
        <w:tc>
          <w:tcPr>
            <w:tcW w:w="2160" w:type="dxa"/>
            <w:shd w:val="clear" w:color="auto" w:fill="EAF2FF"/>
          </w:tcPr>
          <w:p w14:paraId="35395AB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Corporate-focused mid-market at accessible price</w:t>
            </w:r>
          </w:p>
        </w:tc>
        <w:tc>
          <w:tcPr>
            <w:tcW w:w="2016" w:type="dxa"/>
            <w:shd w:val="clear" w:color="auto" w:fill="EAF2FF"/>
          </w:tcPr>
          <w:p w14:paraId="7459779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 xml:space="preserve">USD </w:t>
            </w:r>
            <w:r w:rsidRPr="00180982">
              <w:rPr>
                <w:rFonts w:ascii="Arial" w:hAnsi="Arial" w:cs="Arial"/>
                <w:sz w:val="18"/>
              </w:rPr>
              <w:t>██</w:t>
            </w:r>
            <w:r w:rsidRPr="00180982">
              <w:rPr>
                <w:rFonts w:ascii="Calibri" w:hAnsi="Calibri" w:cs="Calibri"/>
                <w:sz w:val="18"/>
              </w:rPr>
              <w:t>–</w:t>
            </w:r>
            <w:r w:rsidRPr="00180982">
              <w:rPr>
                <w:rFonts w:ascii="Arial" w:hAnsi="Arial" w:cs="Arial"/>
                <w:sz w:val="18"/>
              </w:rPr>
              <w:t>██</w:t>
            </w:r>
            <w:r w:rsidRPr="00180982">
              <w:rPr>
                <w:rFonts w:asciiTheme="majorHAnsi" w:hAnsiTheme="majorHAnsi" w:cstheme="majorHAnsi"/>
                <w:sz w:val="18"/>
              </w:rPr>
              <w:t xml:space="preserve"> (redacted)</w:t>
            </w:r>
          </w:p>
        </w:tc>
        <w:tc>
          <w:tcPr>
            <w:tcW w:w="2016" w:type="dxa"/>
            <w:shd w:val="clear" w:color="auto" w:fill="EAF2FF"/>
          </w:tcPr>
          <w:p w14:paraId="274DD1A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t>
            </w:r>
          </w:p>
        </w:tc>
      </w:tr>
    </w:tbl>
    <w:p w14:paraId="4762E8D9" w14:textId="77777777" w:rsidR="00EE633F" w:rsidRPr="00180982" w:rsidRDefault="00EE633F">
      <w:pPr>
        <w:spacing w:after="80"/>
        <w:rPr>
          <w:rFonts w:asciiTheme="majorHAnsi" w:hAnsiTheme="majorHAnsi" w:cstheme="majorHAnsi"/>
        </w:rPr>
      </w:pPr>
    </w:p>
    <w:p w14:paraId="388BB3DC"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3.4  Revenue Assumptions</w:t>
      </w:r>
    </w:p>
    <w:tbl>
      <w:tblPr>
        <w:tblStyle w:val="TableGrid"/>
        <w:tblW w:w="0" w:type="auto"/>
        <w:jc w:val="center"/>
        <w:tblLook w:val="04A0" w:firstRow="1" w:lastRow="0" w:firstColumn="1" w:lastColumn="0" w:noHBand="0" w:noVBand="1"/>
      </w:tblPr>
      <w:tblGrid>
        <w:gridCol w:w="2592"/>
        <w:gridCol w:w="2016"/>
        <w:gridCol w:w="2016"/>
        <w:gridCol w:w="2016"/>
      </w:tblGrid>
      <w:tr w:rsidR="00EE633F" w:rsidRPr="00180982" w14:paraId="004191C7" w14:textId="77777777">
        <w:trPr>
          <w:jc w:val="center"/>
        </w:trPr>
        <w:tc>
          <w:tcPr>
            <w:tcW w:w="2592" w:type="dxa"/>
            <w:shd w:val="clear" w:color="auto" w:fill="1B4F72"/>
          </w:tcPr>
          <w:p w14:paraId="627FCF6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Parameter</w:t>
            </w:r>
          </w:p>
        </w:tc>
        <w:tc>
          <w:tcPr>
            <w:tcW w:w="2016" w:type="dxa"/>
            <w:shd w:val="clear" w:color="auto" w:fill="1B4F72"/>
          </w:tcPr>
          <w:p w14:paraId="5C4432A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Year 1</w:t>
            </w:r>
          </w:p>
        </w:tc>
        <w:tc>
          <w:tcPr>
            <w:tcW w:w="2016" w:type="dxa"/>
            <w:shd w:val="clear" w:color="auto" w:fill="1B4F72"/>
          </w:tcPr>
          <w:p w14:paraId="3F5900A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Year 3</w:t>
            </w:r>
          </w:p>
        </w:tc>
        <w:tc>
          <w:tcPr>
            <w:tcW w:w="2016" w:type="dxa"/>
            <w:shd w:val="clear" w:color="auto" w:fill="1B4F72"/>
          </w:tcPr>
          <w:p w14:paraId="547AA61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Stabilisation (Y5)</w:t>
            </w:r>
          </w:p>
        </w:tc>
      </w:tr>
      <w:tr w:rsidR="00EE633F" w:rsidRPr="00180982" w14:paraId="2F5C8779" w14:textId="77777777">
        <w:trPr>
          <w:jc w:val="center"/>
        </w:trPr>
        <w:tc>
          <w:tcPr>
            <w:tcW w:w="2592" w:type="dxa"/>
            <w:shd w:val="clear" w:color="auto" w:fill="EAF2FF"/>
          </w:tcPr>
          <w:p w14:paraId="6E822A3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Average Daily Rate (ADR)</w:t>
            </w:r>
          </w:p>
        </w:tc>
        <w:tc>
          <w:tcPr>
            <w:tcW w:w="2016" w:type="dxa"/>
            <w:shd w:val="clear" w:color="auto" w:fill="EAF2FF"/>
          </w:tcPr>
          <w:p w14:paraId="129ACFF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 xml:space="preserve">USD </w:t>
            </w:r>
            <w:r w:rsidRPr="00180982">
              <w:rPr>
                <w:rFonts w:ascii="Arial" w:hAnsi="Arial" w:cs="Arial"/>
                <w:sz w:val="18"/>
              </w:rPr>
              <w:t>██</w:t>
            </w:r>
            <w:r w:rsidRPr="00180982">
              <w:rPr>
                <w:rFonts w:asciiTheme="majorHAnsi" w:hAnsiTheme="majorHAnsi" w:cstheme="majorHAnsi"/>
                <w:sz w:val="18"/>
              </w:rPr>
              <w:t xml:space="preserve"> (redacted)</w:t>
            </w:r>
          </w:p>
        </w:tc>
        <w:tc>
          <w:tcPr>
            <w:tcW w:w="2016" w:type="dxa"/>
            <w:shd w:val="clear" w:color="auto" w:fill="EAF2FF"/>
          </w:tcPr>
          <w:p w14:paraId="5829C16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 xml:space="preserve">USD </w:t>
            </w:r>
            <w:r w:rsidRPr="00180982">
              <w:rPr>
                <w:rFonts w:ascii="Arial" w:hAnsi="Arial" w:cs="Arial"/>
                <w:sz w:val="18"/>
              </w:rPr>
              <w:t>██</w:t>
            </w:r>
            <w:r w:rsidRPr="00180982">
              <w:rPr>
                <w:rFonts w:asciiTheme="majorHAnsi" w:hAnsiTheme="majorHAnsi" w:cstheme="majorHAnsi"/>
                <w:sz w:val="18"/>
              </w:rPr>
              <w:t xml:space="preserve"> (redacted)</w:t>
            </w:r>
          </w:p>
        </w:tc>
        <w:tc>
          <w:tcPr>
            <w:tcW w:w="2016" w:type="dxa"/>
            <w:shd w:val="clear" w:color="auto" w:fill="EAF2FF"/>
          </w:tcPr>
          <w:p w14:paraId="54ED518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 xml:space="preserve">USD </w:t>
            </w:r>
            <w:r w:rsidRPr="00180982">
              <w:rPr>
                <w:rFonts w:ascii="Arial" w:hAnsi="Arial" w:cs="Arial"/>
                <w:sz w:val="18"/>
              </w:rPr>
              <w:t>██</w:t>
            </w:r>
            <w:r w:rsidRPr="00180982">
              <w:rPr>
                <w:rFonts w:asciiTheme="majorHAnsi" w:hAnsiTheme="majorHAnsi" w:cstheme="majorHAnsi"/>
                <w:sz w:val="18"/>
              </w:rPr>
              <w:t xml:space="preserve"> (redacted)</w:t>
            </w:r>
          </w:p>
        </w:tc>
      </w:tr>
      <w:tr w:rsidR="00EE633F" w:rsidRPr="00180982" w14:paraId="64EDB9E8" w14:textId="77777777">
        <w:trPr>
          <w:jc w:val="center"/>
        </w:trPr>
        <w:tc>
          <w:tcPr>
            <w:tcW w:w="2592" w:type="dxa"/>
            <w:shd w:val="clear" w:color="auto" w:fill="FFFFFF"/>
          </w:tcPr>
          <w:p w14:paraId="0BC5FCF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Occupancy Rate</w:t>
            </w:r>
          </w:p>
        </w:tc>
        <w:tc>
          <w:tcPr>
            <w:tcW w:w="2016" w:type="dxa"/>
            <w:shd w:val="clear" w:color="auto" w:fill="FFFFFF"/>
          </w:tcPr>
          <w:p w14:paraId="458702B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55%</w:t>
            </w:r>
          </w:p>
        </w:tc>
        <w:tc>
          <w:tcPr>
            <w:tcW w:w="2016" w:type="dxa"/>
            <w:shd w:val="clear" w:color="auto" w:fill="FFFFFF"/>
          </w:tcPr>
          <w:p w14:paraId="67804F5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65%</w:t>
            </w:r>
          </w:p>
        </w:tc>
        <w:tc>
          <w:tcPr>
            <w:tcW w:w="2016" w:type="dxa"/>
            <w:shd w:val="clear" w:color="auto" w:fill="FFFFFF"/>
          </w:tcPr>
          <w:p w14:paraId="4071B30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70%</w:t>
            </w:r>
          </w:p>
        </w:tc>
      </w:tr>
      <w:tr w:rsidR="00EE633F" w:rsidRPr="00180982" w14:paraId="78232401" w14:textId="77777777">
        <w:trPr>
          <w:jc w:val="center"/>
        </w:trPr>
        <w:tc>
          <w:tcPr>
            <w:tcW w:w="2592" w:type="dxa"/>
            <w:shd w:val="clear" w:color="auto" w:fill="EAF2FF"/>
          </w:tcPr>
          <w:p w14:paraId="0F01D32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RevPAR (indicative)</w:t>
            </w:r>
          </w:p>
        </w:tc>
        <w:tc>
          <w:tcPr>
            <w:tcW w:w="2016" w:type="dxa"/>
            <w:shd w:val="clear" w:color="auto" w:fill="EAF2FF"/>
          </w:tcPr>
          <w:p w14:paraId="540D1DE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~47 (redacted)</w:t>
            </w:r>
          </w:p>
        </w:tc>
        <w:tc>
          <w:tcPr>
            <w:tcW w:w="2016" w:type="dxa"/>
            <w:shd w:val="clear" w:color="auto" w:fill="EAF2FF"/>
          </w:tcPr>
          <w:p w14:paraId="1642333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~57 (redacted)</w:t>
            </w:r>
          </w:p>
        </w:tc>
        <w:tc>
          <w:tcPr>
            <w:tcW w:w="2016" w:type="dxa"/>
            <w:shd w:val="clear" w:color="auto" w:fill="EAF2FF"/>
          </w:tcPr>
          <w:p w14:paraId="04B3933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~65 (redacted)</w:t>
            </w:r>
          </w:p>
        </w:tc>
      </w:tr>
      <w:tr w:rsidR="00EE633F" w:rsidRPr="00180982" w14:paraId="5CD0E89C" w14:textId="77777777">
        <w:trPr>
          <w:jc w:val="center"/>
        </w:trPr>
        <w:tc>
          <w:tcPr>
            <w:tcW w:w="2592" w:type="dxa"/>
            <w:shd w:val="clear" w:color="auto" w:fill="FFFFFF"/>
          </w:tcPr>
          <w:p w14:paraId="77292CB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Room Revenue</w:t>
            </w:r>
          </w:p>
        </w:tc>
        <w:tc>
          <w:tcPr>
            <w:tcW w:w="2016" w:type="dxa"/>
            <w:shd w:val="clear" w:color="auto" w:fill="FFFFFF"/>
          </w:tcPr>
          <w:p w14:paraId="01A4D66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2,0</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FFFFFF"/>
          </w:tcPr>
          <w:p w14:paraId="2BC2CFC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2,5</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FFFFFF"/>
          </w:tcPr>
          <w:p w14:paraId="6BA9669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3,2</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r>
      <w:tr w:rsidR="00EE633F" w:rsidRPr="00180982" w14:paraId="17361B3D" w14:textId="77777777">
        <w:trPr>
          <w:jc w:val="center"/>
        </w:trPr>
        <w:tc>
          <w:tcPr>
            <w:tcW w:w="2592" w:type="dxa"/>
            <w:shd w:val="clear" w:color="auto" w:fill="EAF2FF"/>
          </w:tcPr>
          <w:p w14:paraId="55788AC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F&amp;B Revenue</w:t>
            </w:r>
          </w:p>
        </w:tc>
        <w:tc>
          <w:tcPr>
            <w:tcW w:w="2016" w:type="dxa"/>
            <w:shd w:val="clear" w:color="auto" w:fill="EAF2FF"/>
          </w:tcPr>
          <w:p w14:paraId="0C6FDF0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~12% of room revenue</w:t>
            </w:r>
          </w:p>
        </w:tc>
        <w:tc>
          <w:tcPr>
            <w:tcW w:w="2016" w:type="dxa"/>
            <w:shd w:val="clear" w:color="auto" w:fill="EAF2FF"/>
          </w:tcPr>
          <w:p w14:paraId="3ACC3CB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~15% of room revenue</w:t>
            </w:r>
          </w:p>
        </w:tc>
        <w:tc>
          <w:tcPr>
            <w:tcW w:w="2016" w:type="dxa"/>
            <w:shd w:val="clear" w:color="auto" w:fill="EAF2FF"/>
          </w:tcPr>
          <w:p w14:paraId="4841967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~18% of room revenue</w:t>
            </w:r>
          </w:p>
        </w:tc>
      </w:tr>
      <w:tr w:rsidR="00EE633F" w:rsidRPr="00180982" w14:paraId="08C6B2F1" w14:textId="77777777">
        <w:trPr>
          <w:jc w:val="center"/>
        </w:trPr>
        <w:tc>
          <w:tcPr>
            <w:tcW w:w="2592" w:type="dxa"/>
            <w:shd w:val="clear" w:color="auto" w:fill="FFFFFF"/>
          </w:tcPr>
          <w:p w14:paraId="11BFBBF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Total Revenue</w:t>
            </w:r>
          </w:p>
        </w:tc>
        <w:tc>
          <w:tcPr>
            <w:tcW w:w="2016" w:type="dxa"/>
            <w:shd w:val="clear" w:color="auto" w:fill="FFFFFF"/>
          </w:tcPr>
          <w:p w14:paraId="039BC80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2,1</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FFFFFF"/>
          </w:tcPr>
          <w:p w14:paraId="0A559CB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2,7</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FFFFFF"/>
          </w:tcPr>
          <w:p w14:paraId="11691E9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4,1</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r>
    </w:tbl>
    <w:p w14:paraId="49CB6A3E" w14:textId="77777777" w:rsidR="00EE633F" w:rsidRPr="00180982" w:rsidRDefault="00EE633F">
      <w:pPr>
        <w:spacing w:after="80"/>
        <w:rPr>
          <w:rFonts w:asciiTheme="majorHAnsi" w:hAnsiTheme="majorHAnsi" w:cstheme="majorHAnsi"/>
        </w:rPr>
      </w:pPr>
    </w:p>
    <w:p w14:paraId="1BB7AA30" w14:textId="77777777" w:rsidR="00EE633F" w:rsidRPr="00180982" w:rsidRDefault="00000000">
      <w:pPr>
        <w:jc w:val="center"/>
        <w:rPr>
          <w:rFonts w:asciiTheme="majorHAnsi" w:hAnsiTheme="majorHAnsi" w:cstheme="majorHAnsi"/>
        </w:rPr>
      </w:pPr>
      <w:r w:rsidRPr="00180982">
        <w:rPr>
          <w:rFonts w:asciiTheme="majorHAnsi" w:hAnsiTheme="majorHAnsi" w:cstheme="majorHAnsi"/>
          <w:noProof/>
        </w:rPr>
        <w:drawing>
          <wp:inline distT="0" distB="0" distL="0" distR="0" wp14:anchorId="2289D702" wp14:editId="1D0A3A13">
            <wp:extent cx="5029200" cy="28383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hotel_occupancy.png"/>
                    <pic:cNvPicPr/>
                  </pic:nvPicPr>
                  <pic:blipFill>
                    <a:blip r:embed="rId9"/>
                    <a:stretch>
                      <a:fillRect/>
                    </a:stretch>
                  </pic:blipFill>
                  <pic:spPr>
                    <a:xfrm>
                      <a:off x="0" y="0"/>
                      <a:ext cx="5029200" cy="2838358"/>
                    </a:xfrm>
                    <a:prstGeom prst="rect">
                      <a:avLst/>
                    </a:prstGeom>
                  </pic:spPr>
                </pic:pic>
              </a:graphicData>
            </a:graphic>
          </wp:inline>
        </w:drawing>
      </w:r>
    </w:p>
    <w:p w14:paraId="7008A8DC" w14:textId="77777777" w:rsidR="00EE633F" w:rsidRPr="00180982" w:rsidRDefault="00000000">
      <w:pPr>
        <w:rPr>
          <w:rFonts w:asciiTheme="majorHAnsi" w:hAnsiTheme="majorHAnsi" w:cstheme="majorHAnsi"/>
        </w:rPr>
      </w:pPr>
      <w:r w:rsidRPr="00180982">
        <w:rPr>
          <w:rFonts w:asciiTheme="majorHAnsi" w:hAnsiTheme="majorHAnsi" w:cstheme="majorHAnsi"/>
        </w:rPr>
        <w:br w:type="page"/>
      </w:r>
    </w:p>
    <w:p w14:paraId="1742ED52" w14:textId="77777777" w:rsidR="00EE633F" w:rsidRPr="00180982" w:rsidRDefault="00000000">
      <w:pPr>
        <w:spacing w:before="200" w:after="80"/>
        <w:rPr>
          <w:rFonts w:asciiTheme="majorHAnsi" w:hAnsiTheme="majorHAnsi" w:cstheme="majorHAnsi"/>
        </w:rPr>
      </w:pPr>
      <w:r w:rsidRPr="00180982">
        <w:rPr>
          <w:rFonts w:asciiTheme="majorHAnsi" w:hAnsiTheme="majorHAnsi" w:cstheme="majorHAnsi"/>
          <w:b/>
          <w:color w:val="1B4F72"/>
          <w:sz w:val="28"/>
        </w:rPr>
        <w:lastRenderedPageBreak/>
        <w:t>4.  Technical &amp; Operational Feasibility</w:t>
      </w:r>
    </w:p>
    <w:p w14:paraId="295D7372" w14:textId="77777777" w:rsidR="00EE633F" w:rsidRPr="00180982" w:rsidRDefault="00000000">
      <w:pPr>
        <w:spacing w:before="120" w:after="60"/>
        <w:rPr>
          <w:rFonts w:asciiTheme="majorHAnsi" w:hAnsiTheme="majorHAnsi" w:cstheme="majorHAnsi"/>
        </w:rPr>
      </w:pPr>
      <w:proofErr w:type="gramStart"/>
      <w:r w:rsidRPr="00180982">
        <w:rPr>
          <w:rFonts w:asciiTheme="majorHAnsi" w:hAnsiTheme="majorHAnsi" w:cstheme="majorHAnsi"/>
          <w:b/>
          <w:color w:val="2E86C1"/>
          <w:sz w:val="23"/>
        </w:rPr>
        <w:t>4.1  Site</w:t>
      </w:r>
      <w:proofErr w:type="gramEnd"/>
      <w:r w:rsidRPr="00180982">
        <w:rPr>
          <w:rFonts w:asciiTheme="majorHAnsi" w:hAnsiTheme="majorHAnsi" w:cstheme="majorHAnsi"/>
          <w:b/>
          <w:color w:val="2E86C1"/>
          <w:sz w:val="23"/>
        </w:rPr>
        <w:t xml:space="preserve"> Assessment</w:t>
      </w:r>
    </w:p>
    <w:tbl>
      <w:tblPr>
        <w:tblStyle w:val="TableGrid"/>
        <w:tblW w:w="0" w:type="auto"/>
        <w:jc w:val="center"/>
        <w:tblLook w:val="04A0" w:firstRow="1" w:lastRow="0" w:firstColumn="1" w:lastColumn="0" w:noHBand="0" w:noVBand="1"/>
      </w:tblPr>
      <w:tblGrid>
        <w:gridCol w:w="1728"/>
        <w:gridCol w:w="1872"/>
        <w:gridCol w:w="2880"/>
        <w:gridCol w:w="2304"/>
      </w:tblGrid>
      <w:tr w:rsidR="00EE633F" w:rsidRPr="00180982" w14:paraId="16156F39" w14:textId="77777777">
        <w:trPr>
          <w:jc w:val="center"/>
        </w:trPr>
        <w:tc>
          <w:tcPr>
            <w:tcW w:w="1728" w:type="dxa"/>
            <w:shd w:val="clear" w:color="auto" w:fill="1B4F72"/>
          </w:tcPr>
          <w:p w14:paraId="0122997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Site Option</w:t>
            </w:r>
          </w:p>
        </w:tc>
        <w:tc>
          <w:tcPr>
            <w:tcW w:w="1872" w:type="dxa"/>
            <w:shd w:val="clear" w:color="auto" w:fill="1B4F72"/>
          </w:tcPr>
          <w:p w14:paraId="2766DEF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Location</w:t>
            </w:r>
          </w:p>
        </w:tc>
        <w:tc>
          <w:tcPr>
            <w:tcW w:w="2880" w:type="dxa"/>
            <w:shd w:val="clear" w:color="auto" w:fill="1B4F72"/>
          </w:tcPr>
          <w:p w14:paraId="3083CCE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Advantages</w:t>
            </w:r>
          </w:p>
        </w:tc>
        <w:tc>
          <w:tcPr>
            <w:tcW w:w="2304" w:type="dxa"/>
            <w:shd w:val="clear" w:color="auto" w:fill="1B4F72"/>
          </w:tcPr>
          <w:p w14:paraId="4B58508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Risks</w:t>
            </w:r>
          </w:p>
        </w:tc>
      </w:tr>
      <w:tr w:rsidR="00EE633F" w:rsidRPr="00180982" w14:paraId="5D61D740" w14:textId="77777777">
        <w:trPr>
          <w:jc w:val="center"/>
        </w:trPr>
        <w:tc>
          <w:tcPr>
            <w:tcW w:w="1728" w:type="dxa"/>
            <w:shd w:val="clear" w:color="auto" w:fill="EAF2FF"/>
          </w:tcPr>
          <w:p w14:paraId="4F588D5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Site A (Airport Corridor)</w:t>
            </w:r>
          </w:p>
        </w:tc>
        <w:tc>
          <w:tcPr>
            <w:tcW w:w="1872" w:type="dxa"/>
            <w:shd w:val="clear" w:color="auto" w:fill="EAF2FF"/>
          </w:tcPr>
          <w:p w14:paraId="1333F05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Near JKIA — ~15 km from CBD</w:t>
            </w:r>
          </w:p>
        </w:tc>
        <w:tc>
          <w:tcPr>
            <w:tcW w:w="2880" w:type="dxa"/>
            <w:shd w:val="clear" w:color="auto" w:fill="EAF2FF"/>
          </w:tcPr>
          <w:p w14:paraId="4A98255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Airport transfer demand; logistics hub proximity; land available</w:t>
            </w:r>
          </w:p>
        </w:tc>
        <w:tc>
          <w:tcPr>
            <w:tcW w:w="2304" w:type="dxa"/>
            <w:shd w:val="clear" w:color="auto" w:fill="EAF2FF"/>
          </w:tcPr>
          <w:p w14:paraId="49DDCF2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Traffic congestion; less walkable for leisure</w:t>
            </w:r>
          </w:p>
        </w:tc>
      </w:tr>
      <w:tr w:rsidR="00EE633F" w:rsidRPr="00180982" w14:paraId="750C6460" w14:textId="77777777">
        <w:trPr>
          <w:jc w:val="center"/>
        </w:trPr>
        <w:tc>
          <w:tcPr>
            <w:tcW w:w="1728" w:type="dxa"/>
            <w:shd w:val="clear" w:color="auto" w:fill="FFFFFF"/>
          </w:tcPr>
          <w:p w14:paraId="0D8B8D4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Site B (Business District)</w:t>
            </w:r>
          </w:p>
        </w:tc>
        <w:tc>
          <w:tcPr>
            <w:tcW w:w="1872" w:type="dxa"/>
            <w:shd w:val="clear" w:color="auto" w:fill="FFFFFF"/>
          </w:tcPr>
          <w:p w14:paraId="3DB81DF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Westlands / Upper Hill / CBD</w:t>
            </w:r>
          </w:p>
        </w:tc>
        <w:tc>
          <w:tcPr>
            <w:tcW w:w="2880" w:type="dxa"/>
            <w:shd w:val="clear" w:color="auto" w:fill="FFFFFF"/>
          </w:tcPr>
          <w:p w14:paraId="5B62242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Corporate demand from adjacent offices; F&amp;B footfall; embassy proximity</w:t>
            </w:r>
          </w:p>
        </w:tc>
        <w:tc>
          <w:tcPr>
            <w:tcW w:w="2304" w:type="dxa"/>
            <w:shd w:val="clear" w:color="auto" w:fill="FFFFFF"/>
          </w:tcPr>
          <w:p w14:paraId="5F12F34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Higher land/rent cost; construction complexity</w:t>
            </w:r>
          </w:p>
        </w:tc>
      </w:tr>
    </w:tbl>
    <w:p w14:paraId="7773B8CC" w14:textId="77777777" w:rsidR="00EE633F" w:rsidRPr="00180982" w:rsidRDefault="00EE633F">
      <w:pPr>
        <w:spacing w:after="80"/>
        <w:rPr>
          <w:rFonts w:asciiTheme="majorHAnsi" w:hAnsiTheme="majorHAnsi" w:cstheme="majorHAnsi"/>
        </w:rPr>
      </w:pPr>
    </w:p>
    <w:p w14:paraId="2D85691D"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4.2  Utilities &amp; Infrastructure</w:t>
      </w:r>
    </w:p>
    <w:tbl>
      <w:tblPr>
        <w:tblStyle w:val="TableGrid"/>
        <w:tblW w:w="0" w:type="auto"/>
        <w:jc w:val="center"/>
        <w:tblLook w:val="04A0" w:firstRow="1" w:lastRow="0" w:firstColumn="1" w:lastColumn="0" w:noHBand="0" w:noVBand="1"/>
      </w:tblPr>
      <w:tblGrid>
        <w:gridCol w:w="1872"/>
        <w:gridCol w:w="1728"/>
        <w:gridCol w:w="2592"/>
        <w:gridCol w:w="2592"/>
      </w:tblGrid>
      <w:tr w:rsidR="00EE633F" w:rsidRPr="00180982" w14:paraId="6B1B9DB6" w14:textId="77777777">
        <w:trPr>
          <w:jc w:val="center"/>
        </w:trPr>
        <w:tc>
          <w:tcPr>
            <w:tcW w:w="1872" w:type="dxa"/>
            <w:shd w:val="clear" w:color="auto" w:fill="1B4F72"/>
          </w:tcPr>
          <w:p w14:paraId="721E52E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Utility</w:t>
            </w:r>
          </w:p>
        </w:tc>
        <w:tc>
          <w:tcPr>
            <w:tcW w:w="1728" w:type="dxa"/>
            <w:shd w:val="clear" w:color="auto" w:fill="1B4F72"/>
          </w:tcPr>
          <w:p w14:paraId="105E574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Status</w:t>
            </w:r>
          </w:p>
        </w:tc>
        <w:tc>
          <w:tcPr>
            <w:tcW w:w="2592" w:type="dxa"/>
            <w:shd w:val="clear" w:color="auto" w:fill="1B4F72"/>
          </w:tcPr>
          <w:p w14:paraId="0E4835F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Requirement</w:t>
            </w:r>
          </w:p>
        </w:tc>
        <w:tc>
          <w:tcPr>
            <w:tcW w:w="2592" w:type="dxa"/>
            <w:shd w:val="clear" w:color="auto" w:fill="1B4F72"/>
          </w:tcPr>
          <w:p w14:paraId="034AE40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Backup / Mitigation</w:t>
            </w:r>
          </w:p>
        </w:tc>
      </w:tr>
      <w:tr w:rsidR="00EE633F" w:rsidRPr="00180982" w14:paraId="3A5BEA53" w14:textId="77777777">
        <w:trPr>
          <w:jc w:val="center"/>
        </w:trPr>
        <w:tc>
          <w:tcPr>
            <w:tcW w:w="1872" w:type="dxa"/>
            <w:shd w:val="clear" w:color="auto" w:fill="EAF2FF"/>
          </w:tcPr>
          <w:p w14:paraId="1D7E4AE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Electricity (Kenya Power)</w:t>
            </w:r>
          </w:p>
        </w:tc>
        <w:tc>
          <w:tcPr>
            <w:tcW w:w="1728" w:type="dxa"/>
            <w:shd w:val="clear" w:color="auto" w:fill="EAF2FF"/>
          </w:tcPr>
          <w:p w14:paraId="110C4D2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Available in both catchments</w:t>
            </w:r>
          </w:p>
        </w:tc>
        <w:tc>
          <w:tcPr>
            <w:tcW w:w="2592" w:type="dxa"/>
            <w:shd w:val="clear" w:color="auto" w:fill="EAF2FF"/>
          </w:tcPr>
          <w:p w14:paraId="1FF94EE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Continuous supply for hotel operations</w:t>
            </w:r>
          </w:p>
        </w:tc>
        <w:tc>
          <w:tcPr>
            <w:tcW w:w="2592" w:type="dxa"/>
            <w:shd w:val="clear" w:color="auto" w:fill="EAF2FF"/>
          </w:tcPr>
          <w:p w14:paraId="3A53C29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Diesel generator backup (mandatory); UPS for critical systems</w:t>
            </w:r>
          </w:p>
        </w:tc>
      </w:tr>
      <w:tr w:rsidR="00EE633F" w:rsidRPr="00180982" w14:paraId="2495CD0D" w14:textId="77777777">
        <w:trPr>
          <w:jc w:val="center"/>
        </w:trPr>
        <w:tc>
          <w:tcPr>
            <w:tcW w:w="1872" w:type="dxa"/>
            <w:shd w:val="clear" w:color="auto" w:fill="FFFFFF"/>
          </w:tcPr>
          <w:p w14:paraId="73394E1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Water Supply</w:t>
            </w:r>
          </w:p>
        </w:tc>
        <w:tc>
          <w:tcPr>
            <w:tcW w:w="1728" w:type="dxa"/>
            <w:shd w:val="clear" w:color="auto" w:fill="FFFFFF"/>
          </w:tcPr>
          <w:p w14:paraId="78759D5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Generally available; capacity confirmation needed</w:t>
            </w:r>
          </w:p>
        </w:tc>
        <w:tc>
          <w:tcPr>
            <w:tcW w:w="2592" w:type="dxa"/>
            <w:shd w:val="clear" w:color="auto" w:fill="FFFFFF"/>
          </w:tcPr>
          <w:p w14:paraId="5321526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High-volume hotel use</w:t>
            </w:r>
          </w:p>
        </w:tc>
        <w:tc>
          <w:tcPr>
            <w:tcW w:w="2592" w:type="dxa"/>
            <w:shd w:val="clear" w:color="auto" w:fill="FFFFFF"/>
          </w:tcPr>
          <w:p w14:paraId="4062AD0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Water storage tanks; borehole option</w:t>
            </w:r>
          </w:p>
        </w:tc>
      </w:tr>
      <w:tr w:rsidR="00EE633F" w:rsidRPr="00180982" w14:paraId="43DFB729" w14:textId="77777777">
        <w:trPr>
          <w:jc w:val="center"/>
        </w:trPr>
        <w:tc>
          <w:tcPr>
            <w:tcW w:w="1872" w:type="dxa"/>
            <w:shd w:val="clear" w:color="auto" w:fill="EAF2FF"/>
          </w:tcPr>
          <w:p w14:paraId="21E832D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Telecoms / IT</w:t>
            </w:r>
          </w:p>
        </w:tc>
        <w:tc>
          <w:tcPr>
            <w:tcW w:w="1728" w:type="dxa"/>
            <w:shd w:val="clear" w:color="auto" w:fill="EAF2FF"/>
          </w:tcPr>
          <w:p w14:paraId="63F2D75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Fibre available in target areas</w:t>
            </w:r>
          </w:p>
        </w:tc>
        <w:tc>
          <w:tcPr>
            <w:tcW w:w="2592" w:type="dxa"/>
            <w:shd w:val="clear" w:color="auto" w:fill="EAF2FF"/>
          </w:tcPr>
          <w:p w14:paraId="763B124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High-speed internet</w:t>
            </w:r>
          </w:p>
        </w:tc>
        <w:tc>
          <w:tcPr>
            <w:tcW w:w="2592" w:type="dxa"/>
            <w:shd w:val="clear" w:color="auto" w:fill="EAF2FF"/>
          </w:tcPr>
          <w:p w14:paraId="5338C4B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Dual ISP redundancy</w:t>
            </w:r>
          </w:p>
        </w:tc>
      </w:tr>
      <w:tr w:rsidR="00EE633F" w:rsidRPr="00180982" w14:paraId="59730CD7" w14:textId="77777777">
        <w:trPr>
          <w:jc w:val="center"/>
        </w:trPr>
        <w:tc>
          <w:tcPr>
            <w:tcW w:w="1872" w:type="dxa"/>
            <w:shd w:val="clear" w:color="auto" w:fill="FFFFFF"/>
          </w:tcPr>
          <w:p w14:paraId="7882847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Sewage / Waste</w:t>
            </w:r>
          </w:p>
        </w:tc>
        <w:tc>
          <w:tcPr>
            <w:tcW w:w="1728" w:type="dxa"/>
            <w:shd w:val="clear" w:color="auto" w:fill="FFFFFF"/>
          </w:tcPr>
          <w:p w14:paraId="4220007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Municipal network in target areas</w:t>
            </w:r>
          </w:p>
        </w:tc>
        <w:tc>
          <w:tcPr>
            <w:tcW w:w="2592" w:type="dxa"/>
            <w:shd w:val="clear" w:color="auto" w:fill="FFFFFF"/>
          </w:tcPr>
          <w:p w14:paraId="60BF13E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Standard sewage and solid waste</w:t>
            </w:r>
          </w:p>
        </w:tc>
        <w:tc>
          <w:tcPr>
            <w:tcW w:w="2592" w:type="dxa"/>
            <w:shd w:val="clear" w:color="auto" w:fill="FFFFFF"/>
          </w:tcPr>
          <w:p w14:paraId="1D6C292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Waste management plan required for permits</w:t>
            </w:r>
          </w:p>
        </w:tc>
      </w:tr>
    </w:tbl>
    <w:p w14:paraId="2DC067E0" w14:textId="77777777" w:rsidR="00EE633F" w:rsidRPr="00180982" w:rsidRDefault="00EE633F">
      <w:pPr>
        <w:spacing w:after="80"/>
        <w:rPr>
          <w:rFonts w:asciiTheme="majorHAnsi" w:hAnsiTheme="majorHAnsi" w:cstheme="majorHAnsi"/>
        </w:rPr>
      </w:pPr>
    </w:p>
    <w:p w14:paraId="495DD910"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4.3  Key Equipment &amp; Lead Times</w:t>
      </w:r>
    </w:p>
    <w:tbl>
      <w:tblPr>
        <w:tblStyle w:val="TableGrid"/>
        <w:tblW w:w="0" w:type="auto"/>
        <w:jc w:val="center"/>
        <w:tblLook w:val="04A0" w:firstRow="1" w:lastRow="0" w:firstColumn="1" w:lastColumn="0" w:noHBand="0" w:noVBand="1"/>
      </w:tblPr>
      <w:tblGrid>
        <w:gridCol w:w="2304"/>
        <w:gridCol w:w="2736"/>
        <w:gridCol w:w="1584"/>
        <w:gridCol w:w="1567"/>
      </w:tblGrid>
      <w:tr w:rsidR="00EE633F" w:rsidRPr="00180982" w14:paraId="0221581D" w14:textId="77777777">
        <w:trPr>
          <w:jc w:val="center"/>
        </w:trPr>
        <w:tc>
          <w:tcPr>
            <w:tcW w:w="2304" w:type="dxa"/>
            <w:shd w:val="clear" w:color="auto" w:fill="1B4F72"/>
          </w:tcPr>
          <w:p w14:paraId="305D08B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Equipment Category</w:t>
            </w:r>
          </w:p>
        </w:tc>
        <w:tc>
          <w:tcPr>
            <w:tcW w:w="2736" w:type="dxa"/>
            <w:shd w:val="clear" w:color="auto" w:fill="1B4F72"/>
          </w:tcPr>
          <w:p w14:paraId="7C2510E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Key Items</w:t>
            </w:r>
          </w:p>
        </w:tc>
        <w:tc>
          <w:tcPr>
            <w:tcW w:w="1584" w:type="dxa"/>
            <w:shd w:val="clear" w:color="auto" w:fill="1B4F72"/>
          </w:tcPr>
          <w:p w14:paraId="35064A6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Est. Lead Time</w:t>
            </w:r>
          </w:p>
        </w:tc>
        <w:tc>
          <w:tcPr>
            <w:tcW w:w="1440" w:type="dxa"/>
            <w:shd w:val="clear" w:color="auto" w:fill="1B4F72"/>
          </w:tcPr>
          <w:p w14:paraId="4D604AC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Sourcing</w:t>
            </w:r>
          </w:p>
        </w:tc>
      </w:tr>
      <w:tr w:rsidR="00EE633F" w:rsidRPr="00180982" w14:paraId="0E580F60" w14:textId="77777777">
        <w:trPr>
          <w:jc w:val="center"/>
        </w:trPr>
        <w:tc>
          <w:tcPr>
            <w:tcW w:w="2304" w:type="dxa"/>
            <w:shd w:val="clear" w:color="auto" w:fill="EAF2FF"/>
          </w:tcPr>
          <w:p w14:paraId="543DFD4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HVAC Systems</w:t>
            </w:r>
          </w:p>
        </w:tc>
        <w:tc>
          <w:tcPr>
            <w:tcW w:w="2736" w:type="dxa"/>
            <w:shd w:val="clear" w:color="auto" w:fill="EAF2FF"/>
          </w:tcPr>
          <w:p w14:paraId="692A046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Central cooling/heating for all rooms and public areas</w:t>
            </w:r>
          </w:p>
        </w:tc>
        <w:tc>
          <w:tcPr>
            <w:tcW w:w="1584" w:type="dxa"/>
            <w:shd w:val="clear" w:color="auto" w:fill="EAF2FF"/>
          </w:tcPr>
          <w:p w14:paraId="0BF7C71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10–14 weeks</w:t>
            </w:r>
          </w:p>
        </w:tc>
        <w:tc>
          <w:tcPr>
            <w:tcW w:w="1440" w:type="dxa"/>
            <w:shd w:val="clear" w:color="auto" w:fill="EAF2FF"/>
          </w:tcPr>
          <w:p w14:paraId="3B9CEDB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Imported (Asia/Europe)</w:t>
            </w:r>
          </w:p>
        </w:tc>
      </w:tr>
      <w:tr w:rsidR="00EE633F" w:rsidRPr="00180982" w14:paraId="64B26E9D" w14:textId="77777777">
        <w:trPr>
          <w:jc w:val="center"/>
        </w:trPr>
        <w:tc>
          <w:tcPr>
            <w:tcW w:w="2304" w:type="dxa"/>
            <w:shd w:val="clear" w:color="auto" w:fill="FFFFFF"/>
          </w:tcPr>
          <w:p w14:paraId="6352887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Commercial Kitchen</w:t>
            </w:r>
          </w:p>
        </w:tc>
        <w:tc>
          <w:tcPr>
            <w:tcW w:w="2736" w:type="dxa"/>
            <w:shd w:val="clear" w:color="auto" w:fill="FFFFFF"/>
          </w:tcPr>
          <w:p w14:paraId="704994E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Cooking lines, refrigeration, dishwashing</w:t>
            </w:r>
          </w:p>
        </w:tc>
        <w:tc>
          <w:tcPr>
            <w:tcW w:w="1584" w:type="dxa"/>
            <w:shd w:val="clear" w:color="auto" w:fill="FFFFFF"/>
          </w:tcPr>
          <w:p w14:paraId="51E2DFD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8–12 weeks</w:t>
            </w:r>
          </w:p>
        </w:tc>
        <w:tc>
          <w:tcPr>
            <w:tcW w:w="1440" w:type="dxa"/>
            <w:shd w:val="clear" w:color="auto" w:fill="FFFFFF"/>
          </w:tcPr>
          <w:p w14:paraId="07B2780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Imported/regional</w:t>
            </w:r>
          </w:p>
        </w:tc>
      </w:tr>
      <w:tr w:rsidR="00EE633F" w:rsidRPr="00180982" w14:paraId="701E0011" w14:textId="77777777">
        <w:trPr>
          <w:jc w:val="center"/>
        </w:trPr>
        <w:tc>
          <w:tcPr>
            <w:tcW w:w="2304" w:type="dxa"/>
            <w:shd w:val="clear" w:color="auto" w:fill="EAF2FF"/>
          </w:tcPr>
          <w:p w14:paraId="2C4A7C5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Laundry Equipment</w:t>
            </w:r>
          </w:p>
        </w:tc>
        <w:tc>
          <w:tcPr>
            <w:tcW w:w="2736" w:type="dxa"/>
            <w:shd w:val="clear" w:color="auto" w:fill="EAF2FF"/>
          </w:tcPr>
          <w:p w14:paraId="4090E06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Commercial washers, dryers, ironing units</w:t>
            </w:r>
          </w:p>
        </w:tc>
        <w:tc>
          <w:tcPr>
            <w:tcW w:w="1584" w:type="dxa"/>
            <w:shd w:val="clear" w:color="auto" w:fill="EAF2FF"/>
          </w:tcPr>
          <w:p w14:paraId="10FCF41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8–10 weeks</w:t>
            </w:r>
          </w:p>
        </w:tc>
        <w:tc>
          <w:tcPr>
            <w:tcW w:w="1440" w:type="dxa"/>
            <w:shd w:val="clear" w:color="auto" w:fill="EAF2FF"/>
          </w:tcPr>
          <w:p w14:paraId="532C935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Imported</w:t>
            </w:r>
          </w:p>
        </w:tc>
      </w:tr>
      <w:tr w:rsidR="00EE633F" w:rsidRPr="00180982" w14:paraId="45897DE7" w14:textId="77777777">
        <w:trPr>
          <w:jc w:val="center"/>
        </w:trPr>
        <w:tc>
          <w:tcPr>
            <w:tcW w:w="2304" w:type="dxa"/>
            <w:shd w:val="clear" w:color="auto" w:fill="FFFFFF"/>
          </w:tcPr>
          <w:p w14:paraId="49F58F9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Elevators</w:t>
            </w:r>
          </w:p>
        </w:tc>
        <w:tc>
          <w:tcPr>
            <w:tcW w:w="2736" w:type="dxa"/>
            <w:shd w:val="clear" w:color="auto" w:fill="FFFFFF"/>
          </w:tcPr>
          <w:p w14:paraId="6C92D17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2–3 passenger lifts + 1 service lift</w:t>
            </w:r>
          </w:p>
        </w:tc>
        <w:tc>
          <w:tcPr>
            <w:tcW w:w="1584" w:type="dxa"/>
            <w:shd w:val="clear" w:color="auto" w:fill="FFFFFF"/>
          </w:tcPr>
          <w:p w14:paraId="577BEB1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12–16 weeks</w:t>
            </w:r>
          </w:p>
        </w:tc>
        <w:tc>
          <w:tcPr>
            <w:tcW w:w="1440" w:type="dxa"/>
            <w:shd w:val="clear" w:color="auto" w:fill="FFFFFF"/>
          </w:tcPr>
          <w:p w14:paraId="47F60E2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Imported</w:t>
            </w:r>
          </w:p>
        </w:tc>
      </w:tr>
      <w:tr w:rsidR="00EE633F" w:rsidRPr="00180982" w14:paraId="2D171C63" w14:textId="77777777">
        <w:trPr>
          <w:jc w:val="center"/>
        </w:trPr>
        <w:tc>
          <w:tcPr>
            <w:tcW w:w="2304" w:type="dxa"/>
            <w:shd w:val="clear" w:color="auto" w:fill="EAF2FF"/>
          </w:tcPr>
          <w:p w14:paraId="46AFE64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FF&amp;E</w:t>
            </w:r>
          </w:p>
        </w:tc>
        <w:tc>
          <w:tcPr>
            <w:tcW w:w="2736" w:type="dxa"/>
            <w:shd w:val="clear" w:color="auto" w:fill="EAF2FF"/>
          </w:tcPr>
          <w:p w14:paraId="6522FA9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Beds, seating, bathroom fittings, lighting</w:t>
            </w:r>
          </w:p>
        </w:tc>
        <w:tc>
          <w:tcPr>
            <w:tcW w:w="1584" w:type="dxa"/>
            <w:shd w:val="clear" w:color="auto" w:fill="EAF2FF"/>
          </w:tcPr>
          <w:p w14:paraId="09F3DB1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6–8 weeks</w:t>
            </w:r>
          </w:p>
        </w:tc>
        <w:tc>
          <w:tcPr>
            <w:tcW w:w="1440" w:type="dxa"/>
            <w:shd w:val="clear" w:color="auto" w:fill="EAF2FF"/>
          </w:tcPr>
          <w:p w14:paraId="6B295E6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Local/imported mix</w:t>
            </w:r>
          </w:p>
        </w:tc>
      </w:tr>
      <w:tr w:rsidR="00EE633F" w:rsidRPr="00180982" w14:paraId="6F7235F3" w14:textId="77777777">
        <w:trPr>
          <w:jc w:val="center"/>
        </w:trPr>
        <w:tc>
          <w:tcPr>
            <w:tcW w:w="2304" w:type="dxa"/>
            <w:shd w:val="clear" w:color="auto" w:fill="FFFFFF"/>
          </w:tcPr>
          <w:p w14:paraId="6AA8D7C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IT Systems (PMS, POS, CCTV)</w:t>
            </w:r>
          </w:p>
        </w:tc>
        <w:tc>
          <w:tcPr>
            <w:tcW w:w="2736" w:type="dxa"/>
            <w:shd w:val="clear" w:color="auto" w:fill="FFFFFF"/>
          </w:tcPr>
          <w:p w14:paraId="6A6A067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Opera PMS, surveillance cameras, electronic locking</w:t>
            </w:r>
          </w:p>
        </w:tc>
        <w:tc>
          <w:tcPr>
            <w:tcW w:w="1584" w:type="dxa"/>
            <w:shd w:val="clear" w:color="auto" w:fill="FFFFFF"/>
          </w:tcPr>
          <w:p w14:paraId="0087E18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4–6 weeks</w:t>
            </w:r>
          </w:p>
        </w:tc>
        <w:tc>
          <w:tcPr>
            <w:tcW w:w="1440" w:type="dxa"/>
            <w:shd w:val="clear" w:color="auto" w:fill="FFFFFF"/>
          </w:tcPr>
          <w:p w14:paraId="77E38BA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Regional suppliers</w:t>
            </w:r>
          </w:p>
        </w:tc>
      </w:tr>
    </w:tbl>
    <w:p w14:paraId="2E4AE30E" w14:textId="77777777" w:rsidR="00EE633F" w:rsidRPr="00180982" w:rsidRDefault="00000000">
      <w:pPr>
        <w:spacing w:before="120" w:after="60"/>
        <w:rPr>
          <w:rFonts w:asciiTheme="majorHAnsi" w:hAnsiTheme="majorHAnsi" w:cstheme="majorHAnsi"/>
        </w:rPr>
      </w:pPr>
      <w:proofErr w:type="gramStart"/>
      <w:r w:rsidRPr="00180982">
        <w:rPr>
          <w:rFonts w:asciiTheme="majorHAnsi" w:hAnsiTheme="majorHAnsi" w:cstheme="majorHAnsi"/>
          <w:b/>
          <w:color w:val="2E86C1"/>
          <w:sz w:val="23"/>
        </w:rPr>
        <w:t>4.4  Implementation</w:t>
      </w:r>
      <w:proofErr w:type="gramEnd"/>
      <w:r w:rsidRPr="00180982">
        <w:rPr>
          <w:rFonts w:asciiTheme="majorHAnsi" w:hAnsiTheme="majorHAnsi" w:cstheme="majorHAnsi"/>
          <w:b/>
          <w:color w:val="2E86C1"/>
          <w:sz w:val="23"/>
        </w:rPr>
        <w:t xml:space="preserve"> Timeline</w:t>
      </w:r>
    </w:p>
    <w:tbl>
      <w:tblPr>
        <w:tblStyle w:val="TableGrid"/>
        <w:tblW w:w="0" w:type="auto"/>
        <w:jc w:val="center"/>
        <w:tblLook w:val="04A0" w:firstRow="1" w:lastRow="0" w:firstColumn="1" w:lastColumn="0" w:noHBand="0" w:noVBand="1"/>
      </w:tblPr>
      <w:tblGrid>
        <w:gridCol w:w="2304"/>
        <w:gridCol w:w="3168"/>
        <w:gridCol w:w="1440"/>
        <w:gridCol w:w="1584"/>
      </w:tblGrid>
      <w:tr w:rsidR="00EE633F" w:rsidRPr="00180982" w14:paraId="04EBF5D8" w14:textId="77777777">
        <w:trPr>
          <w:jc w:val="center"/>
        </w:trPr>
        <w:tc>
          <w:tcPr>
            <w:tcW w:w="2304" w:type="dxa"/>
            <w:shd w:val="clear" w:color="auto" w:fill="1B4F72"/>
          </w:tcPr>
          <w:p w14:paraId="09F54A6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Phase</w:t>
            </w:r>
          </w:p>
        </w:tc>
        <w:tc>
          <w:tcPr>
            <w:tcW w:w="3168" w:type="dxa"/>
            <w:shd w:val="clear" w:color="auto" w:fill="1B4F72"/>
          </w:tcPr>
          <w:p w14:paraId="2233513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Key Activities</w:t>
            </w:r>
          </w:p>
        </w:tc>
        <w:tc>
          <w:tcPr>
            <w:tcW w:w="1440" w:type="dxa"/>
            <w:shd w:val="clear" w:color="auto" w:fill="1B4F72"/>
          </w:tcPr>
          <w:p w14:paraId="25BF8CF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Duration</w:t>
            </w:r>
          </w:p>
        </w:tc>
        <w:tc>
          <w:tcPr>
            <w:tcW w:w="1584" w:type="dxa"/>
            <w:shd w:val="clear" w:color="auto" w:fill="1B4F72"/>
          </w:tcPr>
          <w:p w14:paraId="40908FD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Target Schedule</w:t>
            </w:r>
          </w:p>
        </w:tc>
      </w:tr>
      <w:tr w:rsidR="00EE633F" w:rsidRPr="00180982" w14:paraId="0D4F8141" w14:textId="77777777">
        <w:trPr>
          <w:jc w:val="center"/>
        </w:trPr>
        <w:tc>
          <w:tcPr>
            <w:tcW w:w="2304" w:type="dxa"/>
            <w:shd w:val="clear" w:color="auto" w:fill="EAF2FF"/>
          </w:tcPr>
          <w:p w14:paraId="6B4309C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Phase 1 – Pre-Construction</w:t>
            </w:r>
          </w:p>
        </w:tc>
        <w:tc>
          <w:tcPr>
            <w:tcW w:w="3168" w:type="dxa"/>
            <w:shd w:val="clear" w:color="auto" w:fill="EAF2FF"/>
          </w:tcPr>
          <w:p w14:paraId="05DBEF5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Regulatory approvals, permits, site finalisation, design</w:t>
            </w:r>
          </w:p>
        </w:tc>
        <w:tc>
          <w:tcPr>
            <w:tcW w:w="1440" w:type="dxa"/>
            <w:shd w:val="clear" w:color="auto" w:fill="EAF2FF"/>
          </w:tcPr>
          <w:p w14:paraId="617AA03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8–12 weeks</w:t>
            </w:r>
          </w:p>
        </w:tc>
        <w:tc>
          <w:tcPr>
            <w:tcW w:w="1584" w:type="dxa"/>
            <w:shd w:val="clear" w:color="auto" w:fill="EAF2FF"/>
          </w:tcPr>
          <w:p w14:paraId="3861719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Q3 2026 – Q4 2026</w:t>
            </w:r>
          </w:p>
        </w:tc>
      </w:tr>
      <w:tr w:rsidR="00EE633F" w:rsidRPr="00180982" w14:paraId="3244D2D7" w14:textId="77777777">
        <w:trPr>
          <w:jc w:val="center"/>
        </w:trPr>
        <w:tc>
          <w:tcPr>
            <w:tcW w:w="2304" w:type="dxa"/>
            <w:shd w:val="clear" w:color="auto" w:fill="FFFFFF"/>
          </w:tcPr>
          <w:p w14:paraId="3E1E547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Phase 2 – Construction &amp; Fit-Out</w:t>
            </w:r>
          </w:p>
        </w:tc>
        <w:tc>
          <w:tcPr>
            <w:tcW w:w="3168" w:type="dxa"/>
            <w:shd w:val="clear" w:color="auto" w:fill="FFFFFF"/>
          </w:tcPr>
          <w:p w14:paraId="2C9AEF0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Civil works, MEP, FF&amp;E installation, IT setup</w:t>
            </w:r>
          </w:p>
        </w:tc>
        <w:tc>
          <w:tcPr>
            <w:tcW w:w="1440" w:type="dxa"/>
            <w:shd w:val="clear" w:color="auto" w:fill="FFFFFF"/>
          </w:tcPr>
          <w:p w14:paraId="4ED100A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16–20 weeks</w:t>
            </w:r>
          </w:p>
        </w:tc>
        <w:tc>
          <w:tcPr>
            <w:tcW w:w="1584" w:type="dxa"/>
            <w:shd w:val="clear" w:color="auto" w:fill="FFFFFF"/>
          </w:tcPr>
          <w:p w14:paraId="43125B4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Q1 2027 – Q2 2027</w:t>
            </w:r>
          </w:p>
        </w:tc>
      </w:tr>
      <w:tr w:rsidR="00EE633F" w:rsidRPr="00180982" w14:paraId="74800250" w14:textId="77777777">
        <w:trPr>
          <w:jc w:val="center"/>
        </w:trPr>
        <w:tc>
          <w:tcPr>
            <w:tcW w:w="2304" w:type="dxa"/>
            <w:shd w:val="clear" w:color="auto" w:fill="EAF2FF"/>
          </w:tcPr>
          <w:p w14:paraId="15595B5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Phase 3 – Procurement</w:t>
            </w:r>
          </w:p>
        </w:tc>
        <w:tc>
          <w:tcPr>
            <w:tcW w:w="3168" w:type="dxa"/>
            <w:shd w:val="clear" w:color="auto" w:fill="EAF2FF"/>
          </w:tcPr>
          <w:p w14:paraId="2012259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Equipment orders, logistics, customs clearance</w:t>
            </w:r>
          </w:p>
        </w:tc>
        <w:tc>
          <w:tcPr>
            <w:tcW w:w="1440" w:type="dxa"/>
            <w:shd w:val="clear" w:color="auto" w:fill="EAF2FF"/>
          </w:tcPr>
          <w:p w14:paraId="733A18C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Parallel to Phase 2</w:t>
            </w:r>
          </w:p>
        </w:tc>
        <w:tc>
          <w:tcPr>
            <w:tcW w:w="1584" w:type="dxa"/>
            <w:shd w:val="clear" w:color="auto" w:fill="EAF2FF"/>
          </w:tcPr>
          <w:p w14:paraId="16D495B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Q1 2027 – Q2 2027</w:t>
            </w:r>
          </w:p>
        </w:tc>
      </w:tr>
      <w:tr w:rsidR="00EE633F" w:rsidRPr="00180982" w14:paraId="4A3E9055" w14:textId="77777777">
        <w:trPr>
          <w:jc w:val="center"/>
        </w:trPr>
        <w:tc>
          <w:tcPr>
            <w:tcW w:w="2304" w:type="dxa"/>
            <w:shd w:val="clear" w:color="auto" w:fill="FFFFFF"/>
          </w:tcPr>
          <w:p w14:paraId="6DE5B4C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Phase 4 – Staffing &amp; Training</w:t>
            </w:r>
          </w:p>
        </w:tc>
        <w:tc>
          <w:tcPr>
            <w:tcW w:w="3168" w:type="dxa"/>
            <w:shd w:val="clear" w:color="auto" w:fill="FFFFFF"/>
          </w:tcPr>
          <w:p w14:paraId="2055A1C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GM + HODs recruited; staff induction &amp; training</w:t>
            </w:r>
          </w:p>
        </w:tc>
        <w:tc>
          <w:tcPr>
            <w:tcW w:w="1440" w:type="dxa"/>
            <w:shd w:val="clear" w:color="auto" w:fill="FFFFFF"/>
          </w:tcPr>
          <w:p w14:paraId="102CBEB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6–8 weeks</w:t>
            </w:r>
          </w:p>
        </w:tc>
        <w:tc>
          <w:tcPr>
            <w:tcW w:w="1584" w:type="dxa"/>
            <w:shd w:val="clear" w:color="auto" w:fill="FFFFFF"/>
          </w:tcPr>
          <w:p w14:paraId="1F9C4CE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Q2 2027 – Q3 2027</w:t>
            </w:r>
          </w:p>
        </w:tc>
      </w:tr>
      <w:tr w:rsidR="00EE633F" w:rsidRPr="00180982" w14:paraId="0F794DB6" w14:textId="77777777">
        <w:trPr>
          <w:jc w:val="center"/>
        </w:trPr>
        <w:tc>
          <w:tcPr>
            <w:tcW w:w="2304" w:type="dxa"/>
            <w:shd w:val="clear" w:color="auto" w:fill="EAF2FF"/>
          </w:tcPr>
          <w:p w14:paraId="5D33EDF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Phase 5 – Soft Opening</w:t>
            </w:r>
          </w:p>
        </w:tc>
        <w:tc>
          <w:tcPr>
            <w:tcW w:w="3168" w:type="dxa"/>
            <w:shd w:val="clear" w:color="auto" w:fill="EAF2FF"/>
          </w:tcPr>
          <w:p w14:paraId="2C3DC5F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Trial opening, system testing, pre-sales activation</w:t>
            </w:r>
          </w:p>
        </w:tc>
        <w:tc>
          <w:tcPr>
            <w:tcW w:w="1440" w:type="dxa"/>
            <w:shd w:val="clear" w:color="auto" w:fill="EAF2FF"/>
          </w:tcPr>
          <w:p w14:paraId="58E0AAB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4–6 weeks</w:t>
            </w:r>
          </w:p>
        </w:tc>
        <w:tc>
          <w:tcPr>
            <w:tcW w:w="1584" w:type="dxa"/>
            <w:shd w:val="clear" w:color="auto" w:fill="EAF2FF"/>
          </w:tcPr>
          <w:p w14:paraId="3E02E0D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Q4 2027</w:t>
            </w:r>
          </w:p>
        </w:tc>
      </w:tr>
      <w:tr w:rsidR="00EE633F" w:rsidRPr="00180982" w14:paraId="03A3B6A3" w14:textId="77777777">
        <w:trPr>
          <w:jc w:val="center"/>
        </w:trPr>
        <w:tc>
          <w:tcPr>
            <w:tcW w:w="2304" w:type="dxa"/>
            <w:shd w:val="clear" w:color="auto" w:fill="FFFFFF"/>
          </w:tcPr>
          <w:p w14:paraId="3BA7074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Phase 6 – Full Commercial Opening</w:t>
            </w:r>
          </w:p>
        </w:tc>
        <w:tc>
          <w:tcPr>
            <w:tcW w:w="3168" w:type="dxa"/>
            <w:shd w:val="clear" w:color="auto" w:fill="FFFFFF"/>
          </w:tcPr>
          <w:p w14:paraId="11CEDF3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Marketing launch, OTA activation, corporate contracts</w:t>
            </w:r>
          </w:p>
        </w:tc>
        <w:tc>
          <w:tcPr>
            <w:tcW w:w="1440" w:type="dxa"/>
            <w:shd w:val="clear" w:color="auto" w:fill="FFFFFF"/>
          </w:tcPr>
          <w:p w14:paraId="4855680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t>
            </w:r>
          </w:p>
        </w:tc>
        <w:tc>
          <w:tcPr>
            <w:tcW w:w="1584" w:type="dxa"/>
            <w:shd w:val="clear" w:color="auto" w:fill="FFFFFF"/>
          </w:tcPr>
          <w:p w14:paraId="0F85308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Target: Q1 2028</w:t>
            </w:r>
          </w:p>
        </w:tc>
      </w:tr>
    </w:tbl>
    <w:p w14:paraId="54656AA6" w14:textId="77777777" w:rsidR="00EE633F" w:rsidRPr="00180982" w:rsidRDefault="00000000">
      <w:pPr>
        <w:spacing w:before="200" w:after="80"/>
        <w:rPr>
          <w:rFonts w:asciiTheme="majorHAnsi" w:hAnsiTheme="majorHAnsi" w:cstheme="majorHAnsi"/>
        </w:rPr>
      </w:pPr>
      <w:r w:rsidRPr="00180982">
        <w:rPr>
          <w:rFonts w:asciiTheme="majorHAnsi" w:hAnsiTheme="majorHAnsi" w:cstheme="majorHAnsi"/>
          <w:b/>
          <w:color w:val="1B4F72"/>
          <w:sz w:val="28"/>
        </w:rPr>
        <w:lastRenderedPageBreak/>
        <w:t>5.  Management &amp; Organisational Structure</w:t>
      </w:r>
    </w:p>
    <w:p w14:paraId="51B95638" w14:textId="08BD98A5" w:rsidR="00EE633F" w:rsidRPr="00180982" w:rsidRDefault="00000000">
      <w:pPr>
        <w:rPr>
          <w:rFonts w:asciiTheme="majorHAnsi" w:hAnsiTheme="majorHAnsi" w:cstheme="majorHAnsi"/>
        </w:rPr>
      </w:pPr>
      <w:r w:rsidRPr="00180982">
        <w:rPr>
          <w:rFonts w:asciiTheme="majorHAnsi" w:hAnsiTheme="majorHAnsi" w:cstheme="majorHAnsi"/>
          <w:color w:val="BDC3C7"/>
          <w:sz w:val="14"/>
        </w:rPr>
        <w:t>─────────────────────────────────────────────────────────────────────────────────────────────────────────────</w:t>
      </w:r>
    </w:p>
    <w:p w14:paraId="4E2D7C1B"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5.1  Ownership &amp; Delivery Model</w:t>
      </w:r>
    </w:p>
    <w:p w14:paraId="4617131A" w14:textId="77777777" w:rsidR="00180982" w:rsidRDefault="00000000">
      <w:pPr>
        <w:spacing w:after="100"/>
        <w:rPr>
          <w:rFonts w:asciiTheme="majorHAnsi" w:hAnsiTheme="majorHAnsi" w:cstheme="majorHAnsi"/>
          <w:color w:val="17202A"/>
          <w:sz w:val="20"/>
        </w:rPr>
      </w:pPr>
      <w:r w:rsidRPr="00180982">
        <w:rPr>
          <w:rFonts w:asciiTheme="majorHAnsi" w:hAnsiTheme="majorHAnsi" w:cstheme="majorHAnsi"/>
          <w:color w:val="17202A"/>
          <w:sz w:val="20"/>
        </w:rPr>
        <w:t xml:space="preserve">The recommended model is direct property ownership (lease or purchase — determined upon site selection) combined with a specialist local hotel management company for day-to-day operations. </w:t>
      </w:r>
    </w:p>
    <w:p w14:paraId="41FF08E0" w14:textId="6C95B394" w:rsidR="00EE633F" w:rsidRPr="00180982" w:rsidRDefault="00000000">
      <w:pPr>
        <w:spacing w:after="100"/>
        <w:rPr>
          <w:rFonts w:asciiTheme="majorHAnsi" w:hAnsiTheme="majorHAnsi" w:cstheme="majorHAnsi"/>
        </w:rPr>
      </w:pPr>
      <w:r w:rsidRPr="00180982">
        <w:rPr>
          <w:rFonts w:asciiTheme="majorHAnsi" w:hAnsiTheme="majorHAnsi" w:cstheme="majorHAnsi"/>
          <w:color w:val="17202A"/>
          <w:sz w:val="20"/>
        </w:rPr>
        <w:t>This structure achieves a balance between asset control and operational expertise.</w:t>
      </w:r>
    </w:p>
    <w:p w14:paraId="700456E2"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5.2  Proposed Organisational Structure</w:t>
      </w:r>
    </w:p>
    <w:p w14:paraId="71861050" w14:textId="47924AA3" w:rsidR="00EE633F" w:rsidRPr="00180982" w:rsidRDefault="00000000">
      <w:pPr>
        <w:spacing w:after="100"/>
        <w:rPr>
          <w:rFonts w:asciiTheme="majorHAnsi" w:hAnsiTheme="majorHAnsi" w:cstheme="majorHAnsi"/>
        </w:rPr>
      </w:pPr>
      <w:r w:rsidRPr="00180982">
        <w:rPr>
          <w:rFonts w:asciiTheme="majorHAnsi" w:hAnsiTheme="majorHAnsi" w:cstheme="majorHAnsi"/>
          <w:color w:val="17202A"/>
          <w:sz w:val="20"/>
        </w:rPr>
        <w:t xml:space="preserve">Board of Directors / Owners  </w:t>
      </w:r>
      <w:r w:rsidR="00180982" w:rsidRPr="00180982">
        <w:rPr>
          <w:rFonts w:asciiTheme="majorHAnsi" w:hAnsiTheme="majorHAnsi" w:cstheme="majorHAnsi"/>
          <w:color w:val="17202A"/>
          <w:sz w:val="20"/>
        </w:rPr>
        <w:sym w:font="Wingdings" w:char="F0E0"/>
      </w:r>
      <w:r w:rsidRPr="00180982">
        <w:rPr>
          <w:rFonts w:asciiTheme="majorHAnsi" w:hAnsiTheme="majorHAnsi" w:cstheme="majorHAnsi"/>
          <w:color w:val="17202A"/>
          <w:sz w:val="20"/>
        </w:rPr>
        <w:t xml:space="preserve"> General Manager  </w:t>
      </w:r>
      <w:r w:rsidR="00180982" w:rsidRPr="00180982">
        <w:rPr>
          <w:rFonts w:asciiTheme="majorHAnsi" w:hAnsiTheme="majorHAnsi" w:cstheme="majorHAnsi"/>
          <w:color w:val="17202A"/>
          <w:sz w:val="20"/>
        </w:rPr>
        <w:sym w:font="Wingdings" w:char="F0E0"/>
      </w:r>
      <w:r w:rsidRPr="00180982">
        <w:rPr>
          <w:rFonts w:asciiTheme="majorHAnsi" w:hAnsiTheme="majorHAnsi" w:cstheme="majorHAnsi"/>
          <w:color w:val="17202A"/>
          <w:sz w:val="20"/>
        </w:rPr>
        <w:t xml:space="preserve">  Department Heads:</w:t>
      </w:r>
      <w:r w:rsidRPr="00180982">
        <w:rPr>
          <w:rFonts w:asciiTheme="majorHAnsi" w:hAnsiTheme="majorHAnsi" w:cstheme="majorHAnsi"/>
          <w:color w:val="17202A"/>
          <w:sz w:val="20"/>
        </w:rPr>
        <w:br/>
        <w:t xml:space="preserve">• Front Office &amp; </w:t>
      </w:r>
      <w:proofErr w:type="gramStart"/>
      <w:r w:rsidRPr="00180982">
        <w:rPr>
          <w:rFonts w:asciiTheme="majorHAnsi" w:hAnsiTheme="majorHAnsi" w:cstheme="majorHAnsi"/>
          <w:color w:val="17202A"/>
          <w:sz w:val="20"/>
        </w:rPr>
        <w:t>Reservations  •</w:t>
      </w:r>
      <w:proofErr w:type="gramEnd"/>
      <w:r w:rsidRPr="00180982">
        <w:rPr>
          <w:rFonts w:asciiTheme="majorHAnsi" w:hAnsiTheme="majorHAnsi" w:cstheme="majorHAnsi"/>
          <w:color w:val="17202A"/>
          <w:sz w:val="20"/>
        </w:rPr>
        <w:t xml:space="preserve">  Food &amp; </w:t>
      </w:r>
      <w:proofErr w:type="gramStart"/>
      <w:r w:rsidRPr="00180982">
        <w:rPr>
          <w:rFonts w:asciiTheme="majorHAnsi" w:hAnsiTheme="majorHAnsi" w:cstheme="majorHAnsi"/>
          <w:color w:val="17202A"/>
          <w:sz w:val="20"/>
        </w:rPr>
        <w:t>Beverage  •</w:t>
      </w:r>
      <w:proofErr w:type="gramEnd"/>
      <w:r w:rsidRPr="00180982">
        <w:rPr>
          <w:rFonts w:asciiTheme="majorHAnsi" w:hAnsiTheme="majorHAnsi" w:cstheme="majorHAnsi"/>
          <w:color w:val="17202A"/>
          <w:sz w:val="20"/>
        </w:rPr>
        <w:t xml:space="preserve">  </w:t>
      </w:r>
      <w:proofErr w:type="gramStart"/>
      <w:r w:rsidRPr="00180982">
        <w:rPr>
          <w:rFonts w:asciiTheme="majorHAnsi" w:hAnsiTheme="majorHAnsi" w:cstheme="majorHAnsi"/>
          <w:color w:val="17202A"/>
          <w:sz w:val="20"/>
        </w:rPr>
        <w:t>Housekeeping  •</w:t>
      </w:r>
      <w:proofErr w:type="gramEnd"/>
      <w:r w:rsidRPr="00180982">
        <w:rPr>
          <w:rFonts w:asciiTheme="majorHAnsi" w:hAnsiTheme="majorHAnsi" w:cstheme="majorHAnsi"/>
          <w:color w:val="17202A"/>
          <w:sz w:val="20"/>
        </w:rPr>
        <w:t xml:space="preserve">  Sales &amp; </w:t>
      </w:r>
      <w:proofErr w:type="gramStart"/>
      <w:r w:rsidRPr="00180982">
        <w:rPr>
          <w:rFonts w:asciiTheme="majorHAnsi" w:hAnsiTheme="majorHAnsi" w:cstheme="majorHAnsi"/>
          <w:color w:val="17202A"/>
          <w:sz w:val="20"/>
        </w:rPr>
        <w:t>Marketing  •</w:t>
      </w:r>
      <w:proofErr w:type="gramEnd"/>
      <w:r w:rsidRPr="00180982">
        <w:rPr>
          <w:rFonts w:asciiTheme="majorHAnsi" w:hAnsiTheme="majorHAnsi" w:cstheme="majorHAnsi"/>
          <w:color w:val="17202A"/>
          <w:sz w:val="20"/>
        </w:rPr>
        <w:t xml:space="preserve">  Finance &amp; </w:t>
      </w:r>
      <w:proofErr w:type="gramStart"/>
      <w:r w:rsidRPr="00180982">
        <w:rPr>
          <w:rFonts w:asciiTheme="majorHAnsi" w:hAnsiTheme="majorHAnsi" w:cstheme="majorHAnsi"/>
          <w:color w:val="17202A"/>
          <w:sz w:val="20"/>
        </w:rPr>
        <w:t>Accounting  •</w:t>
      </w:r>
      <w:proofErr w:type="gramEnd"/>
      <w:r w:rsidRPr="00180982">
        <w:rPr>
          <w:rFonts w:asciiTheme="majorHAnsi" w:hAnsiTheme="majorHAnsi" w:cstheme="majorHAnsi"/>
          <w:color w:val="17202A"/>
          <w:sz w:val="20"/>
        </w:rPr>
        <w:t xml:space="preserve">  Engineering &amp; </w:t>
      </w:r>
      <w:proofErr w:type="gramStart"/>
      <w:r w:rsidRPr="00180982">
        <w:rPr>
          <w:rFonts w:asciiTheme="majorHAnsi" w:hAnsiTheme="majorHAnsi" w:cstheme="majorHAnsi"/>
          <w:color w:val="17202A"/>
          <w:sz w:val="20"/>
        </w:rPr>
        <w:t>Maintenance  •</w:t>
      </w:r>
      <w:proofErr w:type="gramEnd"/>
      <w:r w:rsidRPr="00180982">
        <w:rPr>
          <w:rFonts w:asciiTheme="majorHAnsi" w:hAnsiTheme="majorHAnsi" w:cstheme="majorHAnsi"/>
          <w:color w:val="17202A"/>
          <w:sz w:val="20"/>
        </w:rPr>
        <w:t xml:space="preserve">  Human Resources</w:t>
      </w:r>
    </w:p>
    <w:p w14:paraId="3F2CC2C6"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5.3  Staffing Plan</w:t>
      </w:r>
    </w:p>
    <w:tbl>
      <w:tblPr>
        <w:tblStyle w:val="TableGrid"/>
        <w:tblW w:w="0" w:type="auto"/>
        <w:jc w:val="center"/>
        <w:tblLook w:val="04A0" w:firstRow="1" w:lastRow="0" w:firstColumn="1" w:lastColumn="0" w:noHBand="0" w:noVBand="1"/>
      </w:tblPr>
      <w:tblGrid>
        <w:gridCol w:w="2304"/>
        <w:gridCol w:w="1728"/>
        <w:gridCol w:w="2880"/>
        <w:gridCol w:w="2016"/>
      </w:tblGrid>
      <w:tr w:rsidR="00EE633F" w:rsidRPr="00180982" w14:paraId="77802D6C" w14:textId="77777777">
        <w:trPr>
          <w:jc w:val="center"/>
        </w:trPr>
        <w:tc>
          <w:tcPr>
            <w:tcW w:w="2304" w:type="dxa"/>
            <w:shd w:val="clear" w:color="auto" w:fill="1B4F72"/>
          </w:tcPr>
          <w:p w14:paraId="33390D8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Department</w:t>
            </w:r>
          </w:p>
        </w:tc>
        <w:tc>
          <w:tcPr>
            <w:tcW w:w="1728" w:type="dxa"/>
            <w:shd w:val="clear" w:color="auto" w:fill="1B4F72"/>
          </w:tcPr>
          <w:p w14:paraId="2EC9E27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Headcount (at Stabilisation)</w:t>
            </w:r>
          </w:p>
        </w:tc>
        <w:tc>
          <w:tcPr>
            <w:tcW w:w="2880" w:type="dxa"/>
            <w:shd w:val="clear" w:color="auto" w:fill="1B4F72"/>
          </w:tcPr>
          <w:p w14:paraId="1200EB6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Key Roles</w:t>
            </w:r>
          </w:p>
        </w:tc>
        <w:tc>
          <w:tcPr>
            <w:tcW w:w="2016" w:type="dxa"/>
            <w:shd w:val="clear" w:color="auto" w:fill="1B4F72"/>
          </w:tcPr>
          <w:p w14:paraId="4854C7C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Est. Monthly Salary Range (USD)</w:t>
            </w:r>
          </w:p>
        </w:tc>
      </w:tr>
      <w:tr w:rsidR="00EE633F" w:rsidRPr="00180982" w14:paraId="039AC7C1" w14:textId="77777777">
        <w:trPr>
          <w:jc w:val="center"/>
        </w:trPr>
        <w:tc>
          <w:tcPr>
            <w:tcW w:w="2304" w:type="dxa"/>
            <w:shd w:val="clear" w:color="auto" w:fill="EAF2FF"/>
          </w:tcPr>
          <w:p w14:paraId="0B5B812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General Management</w:t>
            </w:r>
          </w:p>
        </w:tc>
        <w:tc>
          <w:tcPr>
            <w:tcW w:w="1728" w:type="dxa"/>
            <w:shd w:val="clear" w:color="auto" w:fill="EAF2FF"/>
          </w:tcPr>
          <w:p w14:paraId="50772F0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1–2</w:t>
            </w:r>
          </w:p>
        </w:tc>
        <w:tc>
          <w:tcPr>
            <w:tcW w:w="2880" w:type="dxa"/>
            <w:shd w:val="clear" w:color="auto" w:fill="EAF2FF"/>
          </w:tcPr>
          <w:p w14:paraId="0754FD2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General Manager, Executive Assistant</w:t>
            </w:r>
          </w:p>
        </w:tc>
        <w:tc>
          <w:tcPr>
            <w:tcW w:w="2016" w:type="dxa"/>
            <w:shd w:val="clear" w:color="auto" w:fill="EAF2FF"/>
          </w:tcPr>
          <w:p w14:paraId="6280D5E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3,500 – 6,000</w:t>
            </w:r>
          </w:p>
        </w:tc>
      </w:tr>
      <w:tr w:rsidR="00EE633F" w:rsidRPr="00180982" w14:paraId="4E13C4D8" w14:textId="77777777">
        <w:trPr>
          <w:jc w:val="center"/>
        </w:trPr>
        <w:tc>
          <w:tcPr>
            <w:tcW w:w="2304" w:type="dxa"/>
            <w:shd w:val="clear" w:color="auto" w:fill="FFFFFF"/>
          </w:tcPr>
          <w:p w14:paraId="63EDD98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Front Office</w:t>
            </w:r>
          </w:p>
        </w:tc>
        <w:tc>
          <w:tcPr>
            <w:tcW w:w="1728" w:type="dxa"/>
            <w:shd w:val="clear" w:color="auto" w:fill="FFFFFF"/>
          </w:tcPr>
          <w:p w14:paraId="36BE120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10–12</w:t>
            </w:r>
          </w:p>
        </w:tc>
        <w:tc>
          <w:tcPr>
            <w:tcW w:w="2880" w:type="dxa"/>
            <w:shd w:val="clear" w:color="auto" w:fill="FFFFFF"/>
          </w:tcPr>
          <w:p w14:paraId="34C5E95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Receptionists, Concierge, Night Auditor</w:t>
            </w:r>
          </w:p>
        </w:tc>
        <w:tc>
          <w:tcPr>
            <w:tcW w:w="2016" w:type="dxa"/>
            <w:shd w:val="clear" w:color="auto" w:fill="FFFFFF"/>
          </w:tcPr>
          <w:p w14:paraId="27965A5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400 – 700</w:t>
            </w:r>
          </w:p>
        </w:tc>
      </w:tr>
      <w:tr w:rsidR="00EE633F" w:rsidRPr="00180982" w14:paraId="718E6C03" w14:textId="77777777">
        <w:trPr>
          <w:jc w:val="center"/>
        </w:trPr>
        <w:tc>
          <w:tcPr>
            <w:tcW w:w="2304" w:type="dxa"/>
            <w:shd w:val="clear" w:color="auto" w:fill="EAF2FF"/>
          </w:tcPr>
          <w:p w14:paraId="6773702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Food &amp; Beverage</w:t>
            </w:r>
          </w:p>
        </w:tc>
        <w:tc>
          <w:tcPr>
            <w:tcW w:w="1728" w:type="dxa"/>
            <w:shd w:val="clear" w:color="auto" w:fill="EAF2FF"/>
          </w:tcPr>
          <w:p w14:paraId="52A17DC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15–18</w:t>
            </w:r>
          </w:p>
        </w:tc>
        <w:tc>
          <w:tcPr>
            <w:tcW w:w="2880" w:type="dxa"/>
            <w:shd w:val="clear" w:color="auto" w:fill="EAF2FF"/>
          </w:tcPr>
          <w:p w14:paraId="1863025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F&amp;B Manager, Chef, Waitstaff, Kitchen Crew</w:t>
            </w:r>
          </w:p>
        </w:tc>
        <w:tc>
          <w:tcPr>
            <w:tcW w:w="2016" w:type="dxa"/>
            <w:shd w:val="clear" w:color="auto" w:fill="EAF2FF"/>
          </w:tcPr>
          <w:p w14:paraId="295D0B7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350 – 1,200</w:t>
            </w:r>
          </w:p>
        </w:tc>
      </w:tr>
      <w:tr w:rsidR="00EE633F" w:rsidRPr="00180982" w14:paraId="49CA9597" w14:textId="77777777">
        <w:trPr>
          <w:jc w:val="center"/>
        </w:trPr>
        <w:tc>
          <w:tcPr>
            <w:tcW w:w="2304" w:type="dxa"/>
            <w:shd w:val="clear" w:color="auto" w:fill="FFFFFF"/>
          </w:tcPr>
          <w:p w14:paraId="7FD2925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Housekeeping</w:t>
            </w:r>
          </w:p>
        </w:tc>
        <w:tc>
          <w:tcPr>
            <w:tcW w:w="1728" w:type="dxa"/>
            <w:shd w:val="clear" w:color="auto" w:fill="FFFFFF"/>
          </w:tcPr>
          <w:p w14:paraId="4C4613E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12–15</w:t>
            </w:r>
          </w:p>
        </w:tc>
        <w:tc>
          <w:tcPr>
            <w:tcW w:w="2880" w:type="dxa"/>
            <w:shd w:val="clear" w:color="auto" w:fill="FFFFFF"/>
          </w:tcPr>
          <w:p w14:paraId="3776C3E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Executive Housekeeper, Room Attendants</w:t>
            </w:r>
          </w:p>
        </w:tc>
        <w:tc>
          <w:tcPr>
            <w:tcW w:w="2016" w:type="dxa"/>
            <w:shd w:val="clear" w:color="auto" w:fill="FFFFFF"/>
          </w:tcPr>
          <w:p w14:paraId="62469B8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300 – 600</w:t>
            </w:r>
          </w:p>
        </w:tc>
      </w:tr>
      <w:tr w:rsidR="00EE633F" w:rsidRPr="00180982" w14:paraId="23D42167" w14:textId="77777777">
        <w:trPr>
          <w:jc w:val="center"/>
        </w:trPr>
        <w:tc>
          <w:tcPr>
            <w:tcW w:w="2304" w:type="dxa"/>
            <w:shd w:val="clear" w:color="auto" w:fill="EAF2FF"/>
          </w:tcPr>
          <w:p w14:paraId="7BD9971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Sales &amp; Marketing</w:t>
            </w:r>
          </w:p>
        </w:tc>
        <w:tc>
          <w:tcPr>
            <w:tcW w:w="1728" w:type="dxa"/>
            <w:shd w:val="clear" w:color="auto" w:fill="EAF2FF"/>
          </w:tcPr>
          <w:p w14:paraId="6587753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4–6</w:t>
            </w:r>
          </w:p>
        </w:tc>
        <w:tc>
          <w:tcPr>
            <w:tcW w:w="2880" w:type="dxa"/>
            <w:shd w:val="clear" w:color="auto" w:fill="EAF2FF"/>
          </w:tcPr>
          <w:p w14:paraId="18A8FA6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Sales Manager, Reservations, Digital Marketing</w:t>
            </w:r>
          </w:p>
        </w:tc>
        <w:tc>
          <w:tcPr>
            <w:tcW w:w="2016" w:type="dxa"/>
            <w:shd w:val="clear" w:color="auto" w:fill="EAF2FF"/>
          </w:tcPr>
          <w:p w14:paraId="259A199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600 – 1,500</w:t>
            </w:r>
          </w:p>
        </w:tc>
      </w:tr>
      <w:tr w:rsidR="00EE633F" w:rsidRPr="00180982" w14:paraId="33A709FA" w14:textId="77777777">
        <w:trPr>
          <w:jc w:val="center"/>
        </w:trPr>
        <w:tc>
          <w:tcPr>
            <w:tcW w:w="2304" w:type="dxa"/>
            <w:shd w:val="clear" w:color="auto" w:fill="FFFFFF"/>
          </w:tcPr>
          <w:p w14:paraId="1C122FB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Finance &amp; Accounting</w:t>
            </w:r>
          </w:p>
        </w:tc>
        <w:tc>
          <w:tcPr>
            <w:tcW w:w="1728" w:type="dxa"/>
            <w:shd w:val="clear" w:color="auto" w:fill="FFFFFF"/>
          </w:tcPr>
          <w:p w14:paraId="00BCEA9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3–4</w:t>
            </w:r>
          </w:p>
        </w:tc>
        <w:tc>
          <w:tcPr>
            <w:tcW w:w="2880" w:type="dxa"/>
            <w:shd w:val="clear" w:color="auto" w:fill="FFFFFF"/>
          </w:tcPr>
          <w:p w14:paraId="6A7FEF9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Finance Manager, Accounts, Night Auditor</w:t>
            </w:r>
          </w:p>
        </w:tc>
        <w:tc>
          <w:tcPr>
            <w:tcW w:w="2016" w:type="dxa"/>
            <w:shd w:val="clear" w:color="auto" w:fill="FFFFFF"/>
          </w:tcPr>
          <w:p w14:paraId="4917DDD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600 – 1,500</w:t>
            </w:r>
          </w:p>
        </w:tc>
      </w:tr>
      <w:tr w:rsidR="00EE633F" w:rsidRPr="00180982" w14:paraId="40C6647D" w14:textId="77777777">
        <w:trPr>
          <w:jc w:val="center"/>
        </w:trPr>
        <w:tc>
          <w:tcPr>
            <w:tcW w:w="2304" w:type="dxa"/>
            <w:shd w:val="clear" w:color="auto" w:fill="EAF2FF"/>
          </w:tcPr>
          <w:p w14:paraId="2A36997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Engineering &amp; Maintenance</w:t>
            </w:r>
          </w:p>
        </w:tc>
        <w:tc>
          <w:tcPr>
            <w:tcW w:w="1728" w:type="dxa"/>
            <w:shd w:val="clear" w:color="auto" w:fill="EAF2FF"/>
          </w:tcPr>
          <w:p w14:paraId="0BAADF7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5–6</w:t>
            </w:r>
          </w:p>
        </w:tc>
        <w:tc>
          <w:tcPr>
            <w:tcW w:w="2880" w:type="dxa"/>
            <w:shd w:val="clear" w:color="auto" w:fill="EAF2FF"/>
          </w:tcPr>
          <w:p w14:paraId="354BEBF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Chief Engineer, Maintenance Technicians</w:t>
            </w:r>
          </w:p>
        </w:tc>
        <w:tc>
          <w:tcPr>
            <w:tcW w:w="2016" w:type="dxa"/>
            <w:shd w:val="clear" w:color="auto" w:fill="EAF2FF"/>
          </w:tcPr>
          <w:p w14:paraId="3CA92A3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400 – 900</w:t>
            </w:r>
          </w:p>
        </w:tc>
      </w:tr>
      <w:tr w:rsidR="00EE633F" w:rsidRPr="00180982" w14:paraId="266E7C72" w14:textId="77777777">
        <w:trPr>
          <w:jc w:val="center"/>
        </w:trPr>
        <w:tc>
          <w:tcPr>
            <w:tcW w:w="2304" w:type="dxa"/>
            <w:shd w:val="clear" w:color="auto" w:fill="FFFFFF"/>
          </w:tcPr>
          <w:p w14:paraId="1609F2B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HR &amp; Administration</w:t>
            </w:r>
          </w:p>
        </w:tc>
        <w:tc>
          <w:tcPr>
            <w:tcW w:w="1728" w:type="dxa"/>
            <w:shd w:val="clear" w:color="auto" w:fill="FFFFFF"/>
          </w:tcPr>
          <w:p w14:paraId="16B03DA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2–3</w:t>
            </w:r>
          </w:p>
        </w:tc>
        <w:tc>
          <w:tcPr>
            <w:tcW w:w="2880" w:type="dxa"/>
            <w:shd w:val="clear" w:color="auto" w:fill="FFFFFF"/>
          </w:tcPr>
          <w:p w14:paraId="02390E5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HR Officer, Administrative Staff</w:t>
            </w:r>
          </w:p>
        </w:tc>
        <w:tc>
          <w:tcPr>
            <w:tcW w:w="2016" w:type="dxa"/>
            <w:shd w:val="clear" w:color="auto" w:fill="FFFFFF"/>
          </w:tcPr>
          <w:p w14:paraId="61E8436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400 – 800</w:t>
            </w:r>
          </w:p>
        </w:tc>
      </w:tr>
      <w:tr w:rsidR="00EE633F" w:rsidRPr="00180982" w14:paraId="7ED0F6E3" w14:textId="77777777">
        <w:trPr>
          <w:jc w:val="center"/>
        </w:trPr>
        <w:tc>
          <w:tcPr>
            <w:tcW w:w="2304" w:type="dxa"/>
            <w:shd w:val="clear" w:color="auto" w:fill="EAF2FF"/>
          </w:tcPr>
          <w:p w14:paraId="77A8EA7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Security</w:t>
            </w:r>
          </w:p>
        </w:tc>
        <w:tc>
          <w:tcPr>
            <w:tcW w:w="1728" w:type="dxa"/>
            <w:shd w:val="clear" w:color="auto" w:fill="EAF2FF"/>
          </w:tcPr>
          <w:p w14:paraId="2637DB4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5–6</w:t>
            </w:r>
          </w:p>
        </w:tc>
        <w:tc>
          <w:tcPr>
            <w:tcW w:w="2880" w:type="dxa"/>
            <w:shd w:val="clear" w:color="auto" w:fill="EAF2FF"/>
          </w:tcPr>
          <w:p w14:paraId="47E3288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Security Supervisor, Guards (24-hour shifts)</w:t>
            </w:r>
          </w:p>
        </w:tc>
        <w:tc>
          <w:tcPr>
            <w:tcW w:w="2016" w:type="dxa"/>
            <w:shd w:val="clear" w:color="auto" w:fill="EAF2FF"/>
          </w:tcPr>
          <w:p w14:paraId="70977E3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300 – 500</w:t>
            </w:r>
          </w:p>
        </w:tc>
      </w:tr>
      <w:tr w:rsidR="00EE633F" w:rsidRPr="00180982" w14:paraId="66143257" w14:textId="77777777">
        <w:trPr>
          <w:jc w:val="center"/>
        </w:trPr>
        <w:tc>
          <w:tcPr>
            <w:tcW w:w="2304" w:type="dxa"/>
            <w:shd w:val="clear" w:color="auto" w:fill="FFFFFF"/>
          </w:tcPr>
          <w:p w14:paraId="319C619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Total (Approx.)</w:t>
            </w:r>
          </w:p>
        </w:tc>
        <w:tc>
          <w:tcPr>
            <w:tcW w:w="1728" w:type="dxa"/>
            <w:shd w:val="clear" w:color="auto" w:fill="FFFFFF"/>
          </w:tcPr>
          <w:p w14:paraId="5759CDA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~65 FTE</w:t>
            </w:r>
          </w:p>
        </w:tc>
        <w:tc>
          <w:tcPr>
            <w:tcW w:w="2880" w:type="dxa"/>
            <w:shd w:val="clear" w:color="auto" w:fill="FFFFFF"/>
          </w:tcPr>
          <w:p w14:paraId="2B34598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t>
            </w:r>
          </w:p>
        </w:tc>
        <w:tc>
          <w:tcPr>
            <w:tcW w:w="2016" w:type="dxa"/>
            <w:shd w:val="clear" w:color="auto" w:fill="FFFFFF"/>
          </w:tcPr>
          <w:p w14:paraId="125BC7F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t>
            </w:r>
          </w:p>
        </w:tc>
      </w:tr>
    </w:tbl>
    <w:p w14:paraId="2FDC0FFE" w14:textId="77777777" w:rsidR="00EE633F" w:rsidRPr="00180982" w:rsidRDefault="00EE633F">
      <w:pPr>
        <w:spacing w:after="80"/>
        <w:rPr>
          <w:rFonts w:asciiTheme="majorHAnsi" w:hAnsiTheme="majorHAnsi" w:cstheme="majorHAnsi"/>
        </w:rPr>
      </w:pPr>
    </w:p>
    <w:p w14:paraId="285E5BB1" w14:textId="77777777" w:rsidR="00EE633F" w:rsidRPr="00180982" w:rsidRDefault="00000000">
      <w:pPr>
        <w:rPr>
          <w:rFonts w:asciiTheme="majorHAnsi" w:hAnsiTheme="majorHAnsi" w:cstheme="majorHAnsi"/>
        </w:rPr>
      </w:pPr>
      <w:r w:rsidRPr="00180982">
        <w:rPr>
          <w:rFonts w:asciiTheme="majorHAnsi" w:hAnsiTheme="majorHAnsi" w:cstheme="majorHAnsi"/>
        </w:rPr>
        <w:br w:type="page"/>
      </w:r>
    </w:p>
    <w:p w14:paraId="46F055AA" w14:textId="77777777" w:rsidR="00EE633F" w:rsidRPr="00180982" w:rsidRDefault="00000000">
      <w:pPr>
        <w:spacing w:before="200" w:after="80"/>
        <w:rPr>
          <w:rFonts w:asciiTheme="majorHAnsi" w:hAnsiTheme="majorHAnsi" w:cstheme="majorHAnsi"/>
        </w:rPr>
      </w:pPr>
      <w:r w:rsidRPr="00180982">
        <w:rPr>
          <w:rFonts w:asciiTheme="majorHAnsi" w:hAnsiTheme="majorHAnsi" w:cstheme="majorHAnsi"/>
          <w:b/>
          <w:color w:val="1B4F72"/>
          <w:sz w:val="28"/>
        </w:rPr>
        <w:lastRenderedPageBreak/>
        <w:t>6.  Financial Feasibility</w:t>
      </w:r>
    </w:p>
    <w:p w14:paraId="0D1335B9" w14:textId="77777777" w:rsidR="00EE633F" w:rsidRPr="00180982" w:rsidRDefault="00000000">
      <w:pPr>
        <w:rPr>
          <w:rFonts w:asciiTheme="majorHAnsi" w:hAnsiTheme="majorHAnsi" w:cstheme="majorHAnsi"/>
        </w:rPr>
      </w:pPr>
      <w:r w:rsidRPr="00180982">
        <w:rPr>
          <w:rFonts w:asciiTheme="majorHAnsi" w:hAnsiTheme="majorHAnsi" w:cstheme="majorHAnsi"/>
          <w:color w:val="BDC3C7"/>
          <w:sz w:val="14"/>
        </w:rPr>
        <w:t>──────────────────────────────────────────────────────────────────────────────────────────────────────────────</w:t>
      </w:r>
    </w:p>
    <w:p w14:paraId="3500C151"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6.1  Capital Expenditure (CAPEX)</w:t>
      </w:r>
    </w:p>
    <w:tbl>
      <w:tblPr>
        <w:tblStyle w:val="TableGrid"/>
        <w:tblW w:w="0" w:type="auto"/>
        <w:jc w:val="center"/>
        <w:tblLook w:val="04A0" w:firstRow="1" w:lastRow="0" w:firstColumn="1" w:lastColumn="0" w:noHBand="0" w:noVBand="1"/>
      </w:tblPr>
      <w:tblGrid>
        <w:gridCol w:w="3312"/>
        <w:gridCol w:w="2592"/>
        <w:gridCol w:w="2880"/>
      </w:tblGrid>
      <w:tr w:rsidR="00EE633F" w:rsidRPr="00180982" w14:paraId="69C2CE1D" w14:textId="77777777">
        <w:trPr>
          <w:jc w:val="center"/>
        </w:trPr>
        <w:tc>
          <w:tcPr>
            <w:tcW w:w="3312" w:type="dxa"/>
            <w:shd w:val="clear" w:color="auto" w:fill="1B4F72"/>
          </w:tcPr>
          <w:p w14:paraId="7905025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CAPEX Line Item</w:t>
            </w:r>
          </w:p>
        </w:tc>
        <w:tc>
          <w:tcPr>
            <w:tcW w:w="2592" w:type="dxa"/>
            <w:shd w:val="clear" w:color="auto" w:fill="1B4F72"/>
          </w:tcPr>
          <w:p w14:paraId="50387DA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Indicative Cost (USD)</w:t>
            </w:r>
          </w:p>
        </w:tc>
        <w:tc>
          <w:tcPr>
            <w:tcW w:w="2880" w:type="dxa"/>
            <w:shd w:val="clear" w:color="auto" w:fill="1B4F72"/>
          </w:tcPr>
          <w:p w14:paraId="22386D3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Notes</w:t>
            </w:r>
          </w:p>
        </w:tc>
      </w:tr>
      <w:tr w:rsidR="00EE633F" w:rsidRPr="00180982" w14:paraId="2054196C" w14:textId="77777777">
        <w:trPr>
          <w:jc w:val="center"/>
        </w:trPr>
        <w:tc>
          <w:tcPr>
            <w:tcW w:w="3312" w:type="dxa"/>
            <w:shd w:val="clear" w:color="auto" w:fill="EAF2FF"/>
          </w:tcPr>
          <w:p w14:paraId="716A276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Land Lease / Acquisition</w:t>
            </w:r>
          </w:p>
        </w:tc>
        <w:tc>
          <w:tcPr>
            <w:tcW w:w="2592" w:type="dxa"/>
            <w:shd w:val="clear" w:color="auto" w:fill="EAF2FF"/>
          </w:tcPr>
          <w:p w14:paraId="10762702" w14:textId="77777777" w:rsidR="00EE633F" w:rsidRPr="00180982" w:rsidRDefault="00000000">
            <w:pPr>
              <w:spacing w:after="20"/>
              <w:rPr>
                <w:rFonts w:asciiTheme="majorHAnsi" w:hAnsiTheme="majorHAnsi" w:cstheme="majorHAnsi"/>
              </w:rPr>
            </w:pP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r w:rsidRPr="00180982">
              <w:rPr>
                <w:rFonts w:asciiTheme="majorHAnsi" w:hAnsiTheme="majorHAnsi" w:cstheme="majorHAnsi"/>
                <w:sz w:val="18"/>
              </w:rPr>
              <w:t xml:space="preserve"> </w:t>
            </w:r>
            <w:r w:rsidRPr="00180982">
              <w:rPr>
                <w:rFonts w:ascii="Calibri" w:hAnsi="Calibri" w:cs="Calibri"/>
                <w:sz w:val="18"/>
              </w:rPr>
              <w:t>–</w:t>
            </w:r>
            <w:r w:rsidRPr="00180982">
              <w:rPr>
                <w:rFonts w:asciiTheme="majorHAnsi" w:hAnsiTheme="majorHAnsi" w:cstheme="majorHAnsi"/>
                <w:sz w:val="18"/>
              </w:rPr>
              <w:t xml:space="preserve"> 8</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880" w:type="dxa"/>
            <w:shd w:val="clear" w:color="auto" w:fill="EAF2FF"/>
          </w:tcPr>
          <w:p w14:paraId="1FC33EF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Location-dependent; lease preferred for cash-flow efficiency</w:t>
            </w:r>
          </w:p>
        </w:tc>
      </w:tr>
      <w:tr w:rsidR="00EE633F" w:rsidRPr="00180982" w14:paraId="53922372" w14:textId="77777777">
        <w:trPr>
          <w:jc w:val="center"/>
        </w:trPr>
        <w:tc>
          <w:tcPr>
            <w:tcW w:w="3312" w:type="dxa"/>
            <w:shd w:val="clear" w:color="auto" w:fill="FFFFFF"/>
          </w:tcPr>
          <w:p w14:paraId="55600FD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Civil &amp; Structural Construction</w:t>
            </w:r>
          </w:p>
        </w:tc>
        <w:tc>
          <w:tcPr>
            <w:tcW w:w="2592" w:type="dxa"/>
            <w:shd w:val="clear" w:color="auto" w:fill="FFFFFF"/>
          </w:tcPr>
          <w:p w14:paraId="614C692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1,2</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880" w:type="dxa"/>
            <w:shd w:val="clear" w:color="auto" w:fill="FFFFFF"/>
          </w:tcPr>
          <w:p w14:paraId="4B6A999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Includes foundations, structure, roofing</w:t>
            </w:r>
          </w:p>
        </w:tc>
      </w:tr>
      <w:tr w:rsidR="00EE633F" w:rsidRPr="00180982" w14:paraId="62F82A93" w14:textId="77777777">
        <w:trPr>
          <w:jc w:val="center"/>
        </w:trPr>
        <w:tc>
          <w:tcPr>
            <w:tcW w:w="3312" w:type="dxa"/>
            <w:shd w:val="clear" w:color="auto" w:fill="EAF2FF"/>
          </w:tcPr>
          <w:p w14:paraId="2866A91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Interior Fit-Out</w:t>
            </w:r>
          </w:p>
        </w:tc>
        <w:tc>
          <w:tcPr>
            <w:tcW w:w="2592" w:type="dxa"/>
            <w:shd w:val="clear" w:color="auto" w:fill="EAF2FF"/>
          </w:tcPr>
          <w:p w14:paraId="0572186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880" w:type="dxa"/>
            <w:shd w:val="clear" w:color="auto" w:fill="EAF2FF"/>
          </w:tcPr>
          <w:p w14:paraId="051DCAC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Rooms, lobby, F&amp;B, corridors</w:t>
            </w:r>
          </w:p>
        </w:tc>
      </w:tr>
      <w:tr w:rsidR="00EE633F" w:rsidRPr="00180982" w14:paraId="057D8AD2" w14:textId="77777777">
        <w:trPr>
          <w:jc w:val="center"/>
        </w:trPr>
        <w:tc>
          <w:tcPr>
            <w:tcW w:w="3312" w:type="dxa"/>
            <w:shd w:val="clear" w:color="auto" w:fill="FFFFFF"/>
          </w:tcPr>
          <w:p w14:paraId="658628C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MEP (Mechanical, Electrical &amp; Plumbing)</w:t>
            </w:r>
          </w:p>
        </w:tc>
        <w:tc>
          <w:tcPr>
            <w:tcW w:w="2592" w:type="dxa"/>
            <w:shd w:val="clear" w:color="auto" w:fill="FFFFFF"/>
          </w:tcPr>
          <w:p w14:paraId="66D789A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880" w:type="dxa"/>
            <w:shd w:val="clear" w:color="auto" w:fill="FFFFFF"/>
          </w:tcPr>
          <w:p w14:paraId="75C79A7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HVAC, electrical, plumbing, fire suppression</w:t>
            </w:r>
          </w:p>
        </w:tc>
      </w:tr>
      <w:tr w:rsidR="00EE633F" w:rsidRPr="00180982" w14:paraId="58F1D048" w14:textId="77777777">
        <w:trPr>
          <w:jc w:val="center"/>
        </w:trPr>
        <w:tc>
          <w:tcPr>
            <w:tcW w:w="3312" w:type="dxa"/>
            <w:shd w:val="clear" w:color="auto" w:fill="EAF2FF"/>
          </w:tcPr>
          <w:p w14:paraId="3C4347C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FF&amp;E (Furniture, Fixtures &amp; Equipment)</w:t>
            </w:r>
          </w:p>
        </w:tc>
        <w:tc>
          <w:tcPr>
            <w:tcW w:w="2592" w:type="dxa"/>
            <w:shd w:val="clear" w:color="auto" w:fill="EAF2FF"/>
          </w:tcPr>
          <w:p w14:paraId="7C25343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880" w:type="dxa"/>
            <w:shd w:val="clear" w:color="auto" w:fill="EAF2FF"/>
          </w:tcPr>
          <w:p w14:paraId="3A51388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All room and public area furniture</w:t>
            </w:r>
          </w:p>
        </w:tc>
      </w:tr>
      <w:tr w:rsidR="00EE633F" w:rsidRPr="00180982" w14:paraId="682FD801" w14:textId="77777777">
        <w:trPr>
          <w:jc w:val="center"/>
        </w:trPr>
        <w:tc>
          <w:tcPr>
            <w:tcW w:w="3312" w:type="dxa"/>
            <w:shd w:val="clear" w:color="auto" w:fill="FFFFFF"/>
          </w:tcPr>
          <w:p w14:paraId="4FD03A1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Commercial Kitchen Equipment</w:t>
            </w:r>
          </w:p>
        </w:tc>
        <w:tc>
          <w:tcPr>
            <w:tcW w:w="2592" w:type="dxa"/>
            <w:shd w:val="clear" w:color="auto" w:fill="FFFFFF"/>
          </w:tcPr>
          <w:p w14:paraId="025064D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8</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880" w:type="dxa"/>
            <w:shd w:val="clear" w:color="auto" w:fill="FFFFFF"/>
          </w:tcPr>
          <w:p w14:paraId="6139243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Full kitchen line for restaurant and room service</w:t>
            </w:r>
          </w:p>
        </w:tc>
      </w:tr>
      <w:tr w:rsidR="00EE633F" w:rsidRPr="00180982" w14:paraId="310A0758" w14:textId="77777777">
        <w:trPr>
          <w:jc w:val="center"/>
        </w:trPr>
        <w:tc>
          <w:tcPr>
            <w:tcW w:w="3312" w:type="dxa"/>
            <w:shd w:val="clear" w:color="auto" w:fill="EAF2FF"/>
          </w:tcPr>
          <w:p w14:paraId="0E7E96C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Laundry Equipment</w:t>
            </w:r>
          </w:p>
        </w:tc>
        <w:tc>
          <w:tcPr>
            <w:tcW w:w="2592" w:type="dxa"/>
            <w:shd w:val="clear" w:color="auto" w:fill="EAF2FF"/>
          </w:tcPr>
          <w:p w14:paraId="296AFFC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880" w:type="dxa"/>
            <w:shd w:val="clear" w:color="auto" w:fill="EAF2FF"/>
          </w:tcPr>
          <w:p w14:paraId="08E4151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Commercial grade</w:t>
            </w:r>
          </w:p>
        </w:tc>
      </w:tr>
      <w:tr w:rsidR="00EE633F" w:rsidRPr="00180982" w14:paraId="2063AE60" w14:textId="77777777">
        <w:trPr>
          <w:jc w:val="center"/>
        </w:trPr>
        <w:tc>
          <w:tcPr>
            <w:tcW w:w="3312" w:type="dxa"/>
            <w:shd w:val="clear" w:color="auto" w:fill="FFFFFF"/>
          </w:tcPr>
          <w:p w14:paraId="68C89BB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IT Systems</w:t>
            </w:r>
          </w:p>
        </w:tc>
        <w:tc>
          <w:tcPr>
            <w:tcW w:w="2592" w:type="dxa"/>
            <w:shd w:val="clear" w:color="auto" w:fill="FFFFFF"/>
          </w:tcPr>
          <w:p w14:paraId="730A0EF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8</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880" w:type="dxa"/>
            <w:shd w:val="clear" w:color="auto" w:fill="FFFFFF"/>
          </w:tcPr>
          <w:p w14:paraId="63ED445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Includes installation and licensing</w:t>
            </w:r>
          </w:p>
        </w:tc>
      </w:tr>
      <w:tr w:rsidR="00EE633F" w:rsidRPr="00180982" w14:paraId="67133FAE" w14:textId="77777777">
        <w:trPr>
          <w:jc w:val="center"/>
        </w:trPr>
        <w:tc>
          <w:tcPr>
            <w:tcW w:w="3312" w:type="dxa"/>
            <w:shd w:val="clear" w:color="auto" w:fill="EAF2FF"/>
          </w:tcPr>
          <w:p w14:paraId="2B255A8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Pre-Opening Expenses</w:t>
            </w:r>
          </w:p>
        </w:tc>
        <w:tc>
          <w:tcPr>
            <w:tcW w:w="2592" w:type="dxa"/>
            <w:shd w:val="clear" w:color="auto" w:fill="EAF2FF"/>
          </w:tcPr>
          <w:p w14:paraId="530E31E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7</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880" w:type="dxa"/>
            <w:shd w:val="clear" w:color="auto" w:fill="EAF2FF"/>
          </w:tcPr>
          <w:p w14:paraId="629E1ED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Marketing, recruitment, training, soft launch</w:t>
            </w:r>
          </w:p>
        </w:tc>
      </w:tr>
      <w:tr w:rsidR="00EE633F" w:rsidRPr="00180982" w14:paraId="6821E141" w14:textId="77777777">
        <w:trPr>
          <w:jc w:val="center"/>
        </w:trPr>
        <w:tc>
          <w:tcPr>
            <w:tcW w:w="3312" w:type="dxa"/>
            <w:shd w:val="clear" w:color="auto" w:fill="FFFFFF"/>
          </w:tcPr>
          <w:p w14:paraId="687EDAE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Working Capital Reserve</w:t>
            </w:r>
          </w:p>
        </w:tc>
        <w:tc>
          <w:tcPr>
            <w:tcW w:w="2592" w:type="dxa"/>
            <w:shd w:val="clear" w:color="auto" w:fill="FFFFFF"/>
          </w:tcPr>
          <w:p w14:paraId="65A121A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880" w:type="dxa"/>
            <w:shd w:val="clear" w:color="auto" w:fill="FFFFFF"/>
          </w:tcPr>
          <w:p w14:paraId="71947A3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3-month operating expense buffer</w:t>
            </w:r>
          </w:p>
        </w:tc>
      </w:tr>
      <w:tr w:rsidR="00EE633F" w:rsidRPr="00180982" w14:paraId="3138839A" w14:textId="77777777">
        <w:trPr>
          <w:jc w:val="center"/>
        </w:trPr>
        <w:tc>
          <w:tcPr>
            <w:tcW w:w="3312" w:type="dxa"/>
            <w:shd w:val="clear" w:color="auto" w:fill="EAF2FF"/>
          </w:tcPr>
          <w:p w14:paraId="76CB60E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Contingency (8% of hard costs)</w:t>
            </w:r>
          </w:p>
        </w:tc>
        <w:tc>
          <w:tcPr>
            <w:tcW w:w="2592" w:type="dxa"/>
            <w:shd w:val="clear" w:color="auto" w:fill="EAF2FF"/>
          </w:tcPr>
          <w:p w14:paraId="7350E25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880" w:type="dxa"/>
            <w:shd w:val="clear" w:color="auto" w:fill="EAF2FF"/>
          </w:tcPr>
          <w:p w14:paraId="010829C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Recommended reserve</w:t>
            </w:r>
          </w:p>
        </w:tc>
      </w:tr>
      <w:tr w:rsidR="00EE633F" w:rsidRPr="00180982" w14:paraId="77B2CDAD" w14:textId="77777777">
        <w:trPr>
          <w:jc w:val="center"/>
        </w:trPr>
        <w:tc>
          <w:tcPr>
            <w:tcW w:w="3312" w:type="dxa"/>
            <w:shd w:val="clear" w:color="auto" w:fill="FFFFFF"/>
          </w:tcPr>
          <w:p w14:paraId="601D748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Total CAPEX (Indicative)</w:t>
            </w:r>
          </w:p>
        </w:tc>
        <w:tc>
          <w:tcPr>
            <w:tcW w:w="2592" w:type="dxa"/>
            <w:shd w:val="clear" w:color="auto" w:fill="FFFFFF"/>
          </w:tcPr>
          <w:p w14:paraId="650C2C4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3,2</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880" w:type="dxa"/>
            <w:shd w:val="clear" w:color="auto" w:fill="FFFFFF"/>
          </w:tcPr>
          <w:p w14:paraId="1F0AAD9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Rounded — actual total redacted</w:t>
            </w:r>
          </w:p>
        </w:tc>
      </w:tr>
    </w:tbl>
    <w:p w14:paraId="218952CC" w14:textId="77777777" w:rsidR="00EE633F" w:rsidRPr="00180982" w:rsidRDefault="00EE633F">
      <w:pPr>
        <w:spacing w:after="80"/>
        <w:rPr>
          <w:rFonts w:asciiTheme="majorHAnsi" w:hAnsiTheme="majorHAnsi" w:cstheme="majorHAnsi"/>
        </w:rPr>
      </w:pPr>
    </w:p>
    <w:p w14:paraId="2C3A13C8"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6.2  Operating Expenditure (OPEX) — Annual</w:t>
      </w:r>
    </w:p>
    <w:tbl>
      <w:tblPr>
        <w:tblStyle w:val="TableGrid"/>
        <w:tblW w:w="0" w:type="auto"/>
        <w:jc w:val="center"/>
        <w:tblLook w:val="04A0" w:firstRow="1" w:lastRow="0" w:firstColumn="1" w:lastColumn="0" w:noHBand="0" w:noVBand="1"/>
      </w:tblPr>
      <w:tblGrid>
        <w:gridCol w:w="3312"/>
        <w:gridCol w:w="2016"/>
        <w:gridCol w:w="2016"/>
        <w:gridCol w:w="2016"/>
      </w:tblGrid>
      <w:tr w:rsidR="00EE633F" w:rsidRPr="00180982" w14:paraId="76E12DA1" w14:textId="77777777">
        <w:trPr>
          <w:jc w:val="center"/>
        </w:trPr>
        <w:tc>
          <w:tcPr>
            <w:tcW w:w="3312" w:type="dxa"/>
            <w:shd w:val="clear" w:color="auto" w:fill="1B4F72"/>
          </w:tcPr>
          <w:p w14:paraId="4B15B7E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OPEX Line Item</w:t>
            </w:r>
          </w:p>
        </w:tc>
        <w:tc>
          <w:tcPr>
            <w:tcW w:w="2016" w:type="dxa"/>
            <w:shd w:val="clear" w:color="auto" w:fill="1B4F72"/>
          </w:tcPr>
          <w:p w14:paraId="1B3DB18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Year 1 (USD)</w:t>
            </w:r>
          </w:p>
        </w:tc>
        <w:tc>
          <w:tcPr>
            <w:tcW w:w="2016" w:type="dxa"/>
            <w:shd w:val="clear" w:color="auto" w:fill="1B4F72"/>
          </w:tcPr>
          <w:p w14:paraId="28D044E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Year 3 (USD)</w:t>
            </w:r>
          </w:p>
        </w:tc>
        <w:tc>
          <w:tcPr>
            <w:tcW w:w="2016" w:type="dxa"/>
            <w:shd w:val="clear" w:color="auto" w:fill="1B4F72"/>
          </w:tcPr>
          <w:p w14:paraId="58EF7ED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Year 5 (USD)</w:t>
            </w:r>
          </w:p>
        </w:tc>
      </w:tr>
      <w:tr w:rsidR="00EE633F" w:rsidRPr="00180982" w14:paraId="2ED6D9E8" w14:textId="77777777">
        <w:trPr>
          <w:jc w:val="center"/>
        </w:trPr>
        <w:tc>
          <w:tcPr>
            <w:tcW w:w="3312" w:type="dxa"/>
            <w:shd w:val="clear" w:color="auto" w:fill="EAF2FF"/>
          </w:tcPr>
          <w:p w14:paraId="37A0768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Staff Costs</w:t>
            </w:r>
          </w:p>
        </w:tc>
        <w:tc>
          <w:tcPr>
            <w:tcW w:w="2016" w:type="dxa"/>
            <w:shd w:val="clear" w:color="auto" w:fill="EAF2FF"/>
          </w:tcPr>
          <w:p w14:paraId="21F0927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5</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EAF2FF"/>
          </w:tcPr>
          <w:p w14:paraId="2530465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EAF2FF"/>
          </w:tcPr>
          <w:p w14:paraId="4806256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7</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r>
      <w:tr w:rsidR="00EE633F" w:rsidRPr="00180982" w14:paraId="3E6331EF" w14:textId="77777777">
        <w:trPr>
          <w:jc w:val="center"/>
        </w:trPr>
        <w:tc>
          <w:tcPr>
            <w:tcW w:w="3312" w:type="dxa"/>
            <w:shd w:val="clear" w:color="auto" w:fill="FFFFFF"/>
          </w:tcPr>
          <w:p w14:paraId="0372772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F&amp;B Cost of Sales</w:t>
            </w:r>
          </w:p>
        </w:tc>
        <w:tc>
          <w:tcPr>
            <w:tcW w:w="2016" w:type="dxa"/>
            <w:shd w:val="clear" w:color="auto" w:fill="FFFFFF"/>
          </w:tcPr>
          <w:p w14:paraId="595276F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~30% of F&amp;B revenue</w:t>
            </w:r>
          </w:p>
        </w:tc>
        <w:tc>
          <w:tcPr>
            <w:tcW w:w="2016" w:type="dxa"/>
            <w:shd w:val="clear" w:color="auto" w:fill="FFFFFF"/>
          </w:tcPr>
          <w:p w14:paraId="4BAA294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~30% of F&amp;B revenue</w:t>
            </w:r>
          </w:p>
        </w:tc>
        <w:tc>
          <w:tcPr>
            <w:tcW w:w="2016" w:type="dxa"/>
            <w:shd w:val="clear" w:color="auto" w:fill="FFFFFF"/>
          </w:tcPr>
          <w:p w14:paraId="59FF9E2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~28% of F&amp;B revenue</w:t>
            </w:r>
          </w:p>
        </w:tc>
      </w:tr>
      <w:tr w:rsidR="00EE633F" w:rsidRPr="00180982" w14:paraId="00965E40" w14:textId="77777777">
        <w:trPr>
          <w:jc w:val="center"/>
        </w:trPr>
        <w:tc>
          <w:tcPr>
            <w:tcW w:w="3312" w:type="dxa"/>
            <w:shd w:val="clear" w:color="auto" w:fill="EAF2FF"/>
          </w:tcPr>
          <w:p w14:paraId="7E7F69A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Utilities (Energy, Water, Gas)</w:t>
            </w:r>
          </w:p>
        </w:tc>
        <w:tc>
          <w:tcPr>
            <w:tcW w:w="2016" w:type="dxa"/>
            <w:shd w:val="clear" w:color="auto" w:fill="EAF2FF"/>
          </w:tcPr>
          <w:p w14:paraId="7904FE9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9</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EAF2FF"/>
          </w:tcPr>
          <w:p w14:paraId="4FA8A9D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11</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EAF2FF"/>
          </w:tcPr>
          <w:p w14:paraId="1489ABF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13</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r>
      <w:tr w:rsidR="00EE633F" w:rsidRPr="00180982" w14:paraId="1306B104" w14:textId="77777777">
        <w:trPr>
          <w:jc w:val="center"/>
        </w:trPr>
        <w:tc>
          <w:tcPr>
            <w:tcW w:w="3312" w:type="dxa"/>
            <w:shd w:val="clear" w:color="auto" w:fill="FFFFFF"/>
          </w:tcPr>
          <w:p w14:paraId="23AA6FF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Sales, Marketing &amp; OTA Commissions</w:t>
            </w:r>
          </w:p>
        </w:tc>
        <w:tc>
          <w:tcPr>
            <w:tcW w:w="2016" w:type="dxa"/>
            <w:shd w:val="clear" w:color="auto" w:fill="FFFFFF"/>
          </w:tcPr>
          <w:p w14:paraId="5C96A28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12</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FFFFFF"/>
          </w:tcPr>
          <w:p w14:paraId="19E6498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16</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FFFFFF"/>
          </w:tcPr>
          <w:p w14:paraId="329ED96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20</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r>
      <w:tr w:rsidR="00EE633F" w:rsidRPr="00180982" w14:paraId="3510DAD0" w14:textId="77777777">
        <w:trPr>
          <w:jc w:val="center"/>
        </w:trPr>
        <w:tc>
          <w:tcPr>
            <w:tcW w:w="3312" w:type="dxa"/>
            <w:shd w:val="clear" w:color="auto" w:fill="EAF2FF"/>
          </w:tcPr>
          <w:p w14:paraId="02C1983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Property Maintenance &amp; Repairs</w:t>
            </w:r>
          </w:p>
        </w:tc>
        <w:tc>
          <w:tcPr>
            <w:tcW w:w="2016" w:type="dxa"/>
            <w:shd w:val="clear" w:color="auto" w:fill="EAF2FF"/>
          </w:tcPr>
          <w:p w14:paraId="57F8F41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5</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EAF2FF"/>
          </w:tcPr>
          <w:p w14:paraId="04B99B4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7</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EAF2FF"/>
          </w:tcPr>
          <w:p w14:paraId="5F860F9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9</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r>
      <w:tr w:rsidR="00EE633F" w:rsidRPr="00180982" w14:paraId="68E8DE5E" w14:textId="77777777">
        <w:trPr>
          <w:jc w:val="center"/>
        </w:trPr>
        <w:tc>
          <w:tcPr>
            <w:tcW w:w="3312" w:type="dxa"/>
            <w:shd w:val="clear" w:color="auto" w:fill="FFFFFF"/>
          </w:tcPr>
          <w:p w14:paraId="62A737E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IT &amp; Systems Maintenance</w:t>
            </w:r>
          </w:p>
        </w:tc>
        <w:tc>
          <w:tcPr>
            <w:tcW w:w="2016" w:type="dxa"/>
            <w:shd w:val="clear" w:color="auto" w:fill="FFFFFF"/>
          </w:tcPr>
          <w:p w14:paraId="44195B2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FFFFFF"/>
          </w:tcPr>
          <w:p w14:paraId="1BCBFCF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FFFFFF"/>
          </w:tcPr>
          <w:p w14:paraId="7BB4FA0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r>
      <w:tr w:rsidR="00EE633F" w:rsidRPr="00180982" w14:paraId="089AD00A" w14:textId="77777777">
        <w:trPr>
          <w:jc w:val="center"/>
        </w:trPr>
        <w:tc>
          <w:tcPr>
            <w:tcW w:w="3312" w:type="dxa"/>
            <w:shd w:val="clear" w:color="auto" w:fill="EAF2FF"/>
          </w:tcPr>
          <w:p w14:paraId="48A7B7D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Insurance</w:t>
            </w:r>
          </w:p>
        </w:tc>
        <w:tc>
          <w:tcPr>
            <w:tcW w:w="2016" w:type="dxa"/>
            <w:shd w:val="clear" w:color="auto" w:fill="EAF2FF"/>
          </w:tcPr>
          <w:p w14:paraId="6545222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EAF2FF"/>
          </w:tcPr>
          <w:p w14:paraId="283B101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EAF2FF"/>
          </w:tcPr>
          <w:p w14:paraId="7CE56D3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r>
      <w:tr w:rsidR="00EE633F" w:rsidRPr="00180982" w14:paraId="4455A777" w14:textId="77777777">
        <w:trPr>
          <w:jc w:val="center"/>
        </w:trPr>
        <w:tc>
          <w:tcPr>
            <w:tcW w:w="3312" w:type="dxa"/>
            <w:shd w:val="clear" w:color="auto" w:fill="FFFFFF"/>
          </w:tcPr>
          <w:p w14:paraId="362BBE0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General &amp; Admin (Legal, Accounting)</w:t>
            </w:r>
          </w:p>
        </w:tc>
        <w:tc>
          <w:tcPr>
            <w:tcW w:w="2016" w:type="dxa"/>
            <w:shd w:val="clear" w:color="auto" w:fill="FFFFFF"/>
          </w:tcPr>
          <w:p w14:paraId="472563A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8</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FFFFFF"/>
          </w:tcPr>
          <w:p w14:paraId="006C494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9</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FFFFFF"/>
          </w:tcPr>
          <w:p w14:paraId="55449D5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11</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r>
      <w:tr w:rsidR="00EE633F" w:rsidRPr="00180982" w14:paraId="0047B77C" w14:textId="77777777">
        <w:trPr>
          <w:jc w:val="center"/>
        </w:trPr>
        <w:tc>
          <w:tcPr>
            <w:tcW w:w="3312" w:type="dxa"/>
            <w:shd w:val="clear" w:color="auto" w:fill="EAF2FF"/>
          </w:tcPr>
          <w:p w14:paraId="25066BC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Depreciation &amp; Amortisation</w:t>
            </w:r>
          </w:p>
        </w:tc>
        <w:tc>
          <w:tcPr>
            <w:tcW w:w="2016" w:type="dxa"/>
            <w:shd w:val="clear" w:color="auto" w:fill="EAF2FF"/>
          </w:tcPr>
          <w:p w14:paraId="026097B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EAF2FF"/>
          </w:tcPr>
          <w:p w14:paraId="4EA82D3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EAF2FF"/>
          </w:tcPr>
          <w:p w14:paraId="24DAFDC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r>
      <w:tr w:rsidR="00EE633F" w:rsidRPr="00180982" w14:paraId="0C0B271A" w14:textId="77777777">
        <w:trPr>
          <w:jc w:val="center"/>
        </w:trPr>
        <w:tc>
          <w:tcPr>
            <w:tcW w:w="3312" w:type="dxa"/>
            <w:shd w:val="clear" w:color="auto" w:fill="FFFFFF"/>
          </w:tcPr>
          <w:p w14:paraId="5A56B5E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Loan Interest (if applicable)</w:t>
            </w:r>
          </w:p>
        </w:tc>
        <w:tc>
          <w:tcPr>
            <w:tcW w:w="2016" w:type="dxa"/>
            <w:shd w:val="clear" w:color="auto" w:fill="FFFFFF"/>
          </w:tcPr>
          <w:p w14:paraId="4B8C94E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FFFFFF"/>
          </w:tcPr>
          <w:p w14:paraId="6B38C55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9</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FFFFFF"/>
          </w:tcPr>
          <w:p w14:paraId="7BF89F7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5</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r>
      <w:tr w:rsidR="00EE633F" w:rsidRPr="00180982" w14:paraId="14C10D00" w14:textId="77777777">
        <w:trPr>
          <w:jc w:val="center"/>
        </w:trPr>
        <w:tc>
          <w:tcPr>
            <w:tcW w:w="3312" w:type="dxa"/>
            <w:shd w:val="clear" w:color="auto" w:fill="EAF2FF"/>
          </w:tcPr>
          <w:p w14:paraId="22E7B5D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Total OPEX (Indicative)</w:t>
            </w:r>
          </w:p>
        </w:tc>
        <w:tc>
          <w:tcPr>
            <w:tcW w:w="2016" w:type="dxa"/>
            <w:shd w:val="clear" w:color="auto" w:fill="EAF2FF"/>
          </w:tcPr>
          <w:p w14:paraId="2E379EB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1,2</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EAF2FF"/>
          </w:tcPr>
          <w:p w14:paraId="26D0D9B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1,5</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2016" w:type="dxa"/>
            <w:shd w:val="clear" w:color="auto" w:fill="EAF2FF"/>
          </w:tcPr>
          <w:p w14:paraId="353D891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1,9</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r>
    </w:tbl>
    <w:p w14:paraId="4D1C8414" w14:textId="77777777" w:rsidR="00EE633F" w:rsidRPr="00180982" w:rsidRDefault="00EE633F">
      <w:pPr>
        <w:spacing w:after="80"/>
        <w:rPr>
          <w:rFonts w:asciiTheme="majorHAnsi" w:hAnsiTheme="majorHAnsi" w:cstheme="majorHAnsi"/>
        </w:rPr>
      </w:pPr>
    </w:p>
    <w:p w14:paraId="5A03CD41"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6.3  5-Year Financial Projections (Indicative)</w:t>
      </w:r>
    </w:p>
    <w:tbl>
      <w:tblPr>
        <w:tblStyle w:val="TableGrid"/>
        <w:tblW w:w="0" w:type="auto"/>
        <w:jc w:val="center"/>
        <w:tblLook w:val="04A0" w:firstRow="1" w:lastRow="0" w:firstColumn="1" w:lastColumn="0" w:noHBand="0" w:noVBand="1"/>
      </w:tblPr>
      <w:tblGrid>
        <w:gridCol w:w="2304"/>
        <w:gridCol w:w="1368"/>
        <w:gridCol w:w="1368"/>
        <w:gridCol w:w="1368"/>
        <w:gridCol w:w="1368"/>
        <w:gridCol w:w="1368"/>
      </w:tblGrid>
      <w:tr w:rsidR="00EE633F" w:rsidRPr="00180982" w14:paraId="5F2AAF77" w14:textId="77777777">
        <w:trPr>
          <w:jc w:val="center"/>
        </w:trPr>
        <w:tc>
          <w:tcPr>
            <w:tcW w:w="2304" w:type="dxa"/>
            <w:shd w:val="clear" w:color="auto" w:fill="1B4F72"/>
          </w:tcPr>
          <w:p w14:paraId="5EE6163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KPI</w:t>
            </w:r>
          </w:p>
        </w:tc>
        <w:tc>
          <w:tcPr>
            <w:tcW w:w="1368" w:type="dxa"/>
            <w:shd w:val="clear" w:color="auto" w:fill="1B4F72"/>
          </w:tcPr>
          <w:p w14:paraId="3BEF59D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Y1 (2027)</w:t>
            </w:r>
          </w:p>
        </w:tc>
        <w:tc>
          <w:tcPr>
            <w:tcW w:w="1368" w:type="dxa"/>
            <w:shd w:val="clear" w:color="auto" w:fill="1B4F72"/>
          </w:tcPr>
          <w:p w14:paraId="6856F58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Y2 (2028)</w:t>
            </w:r>
          </w:p>
        </w:tc>
        <w:tc>
          <w:tcPr>
            <w:tcW w:w="1368" w:type="dxa"/>
            <w:shd w:val="clear" w:color="auto" w:fill="1B4F72"/>
          </w:tcPr>
          <w:p w14:paraId="6B164D7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Y3 (2029)</w:t>
            </w:r>
          </w:p>
        </w:tc>
        <w:tc>
          <w:tcPr>
            <w:tcW w:w="1368" w:type="dxa"/>
            <w:shd w:val="clear" w:color="auto" w:fill="1B4F72"/>
          </w:tcPr>
          <w:p w14:paraId="51A730D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Y4 (2030)</w:t>
            </w:r>
          </w:p>
        </w:tc>
        <w:tc>
          <w:tcPr>
            <w:tcW w:w="1368" w:type="dxa"/>
            <w:shd w:val="clear" w:color="auto" w:fill="1B4F72"/>
          </w:tcPr>
          <w:p w14:paraId="1608803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Y5 (2031)</w:t>
            </w:r>
          </w:p>
        </w:tc>
      </w:tr>
      <w:tr w:rsidR="00EE633F" w:rsidRPr="00180982" w14:paraId="6A7BC517" w14:textId="77777777">
        <w:trPr>
          <w:jc w:val="center"/>
        </w:trPr>
        <w:tc>
          <w:tcPr>
            <w:tcW w:w="2304" w:type="dxa"/>
            <w:shd w:val="clear" w:color="auto" w:fill="EAF2FF"/>
          </w:tcPr>
          <w:p w14:paraId="039A560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Occupancy Rate</w:t>
            </w:r>
          </w:p>
        </w:tc>
        <w:tc>
          <w:tcPr>
            <w:tcW w:w="1368" w:type="dxa"/>
            <w:shd w:val="clear" w:color="auto" w:fill="EAF2FF"/>
          </w:tcPr>
          <w:p w14:paraId="52E21BC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55%</w:t>
            </w:r>
          </w:p>
        </w:tc>
        <w:tc>
          <w:tcPr>
            <w:tcW w:w="1368" w:type="dxa"/>
            <w:shd w:val="clear" w:color="auto" w:fill="EAF2FF"/>
          </w:tcPr>
          <w:p w14:paraId="4751BDE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61%</w:t>
            </w:r>
          </w:p>
        </w:tc>
        <w:tc>
          <w:tcPr>
            <w:tcW w:w="1368" w:type="dxa"/>
            <w:shd w:val="clear" w:color="auto" w:fill="EAF2FF"/>
          </w:tcPr>
          <w:p w14:paraId="25EFEBE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65%</w:t>
            </w:r>
          </w:p>
        </w:tc>
        <w:tc>
          <w:tcPr>
            <w:tcW w:w="1368" w:type="dxa"/>
            <w:shd w:val="clear" w:color="auto" w:fill="EAF2FF"/>
          </w:tcPr>
          <w:p w14:paraId="0039458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68%</w:t>
            </w:r>
          </w:p>
        </w:tc>
        <w:tc>
          <w:tcPr>
            <w:tcW w:w="1368" w:type="dxa"/>
            <w:shd w:val="clear" w:color="auto" w:fill="EAF2FF"/>
          </w:tcPr>
          <w:p w14:paraId="302DDCC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70%</w:t>
            </w:r>
          </w:p>
        </w:tc>
      </w:tr>
      <w:tr w:rsidR="00EE633F" w:rsidRPr="00180982" w14:paraId="79538DB6" w14:textId="77777777">
        <w:trPr>
          <w:jc w:val="center"/>
        </w:trPr>
        <w:tc>
          <w:tcPr>
            <w:tcW w:w="2304" w:type="dxa"/>
            <w:shd w:val="clear" w:color="auto" w:fill="FFFFFF"/>
          </w:tcPr>
          <w:p w14:paraId="2944E2D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Total Revenue (USD M)</w:t>
            </w:r>
          </w:p>
        </w:tc>
        <w:tc>
          <w:tcPr>
            <w:tcW w:w="1368" w:type="dxa"/>
            <w:shd w:val="clear" w:color="auto" w:fill="FFFFFF"/>
          </w:tcPr>
          <w:p w14:paraId="52BE2F2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~2.1</w:t>
            </w:r>
            <w:r w:rsidRPr="00180982">
              <w:rPr>
                <w:rFonts w:ascii="Arial" w:hAnsi="Arial" w:cs="Arial"/>
                <w:sz w:val="18"/>
              </w:rPr>
              <w:t>█</w:t>
            </w:r>
          </w:p>
        </w:tc>
        <w:tc>
          <w:tcPr>
            <w:tcW w:w="1368" w:type="dxa"/>
            <w:shd w:val="clear" w:color="auto" w:fill="FFFFFF"/>
          </w:tcPr>
          <w:p w14:paraId="652328E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~2.7</w:t>
            </w:r>
            <w:r w:rsidRPr="00180982">
              <w:rPr>
                <w:rFonts w:ascii="Arial" w:hAnsi="Arial" w:cs="Arial"/>
                <w:sz w:val="18"/>
              </w:rPr>
              <w:t>█</w:t>
            </w:r>
          </w:p>
        </w:tc>
        <w:tc>
          <w:tcPr>
            <w:tcW w:w="1368" w:type="dxa"/>
            <w:shd w:val="clear" w:color="auto" w:fill="FFFFFF"/>
          </w:tcPr>
          <w:p w14:paraId="10E61CC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~3.2</w:t>
            </w:r>
            <w:r w:rsidRPr="00180982">
              <w:rPr>
                <w:rFonts w:ascii="Arial" w:hAnsi="Arial" w:cs="Arial"/>
                <w:sz w:val="18"/>
              </w:rPr>
              <w:t>█</w:t>
            </w:r>
          </w:p>
        </w:tc>
        <w:tc>
          <w:tcPr>
            <w:tcW w:w="1368" w:type="dxa"/>
            <w:shd w:val="clear" w:color="auto" w:fill="FFFFFF"/>
          </w:tcPr>
          <w:p w14:paraId="66EB1B3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~3.7</w:t>
            </w:r>
            <w:r w:rsidRPr="00180982">
              <w:rPr>
                <w:rFonts w:ascii="Arial" w:hAnsi="Arial" w:cs="Arial"/>
                <w:sz w:val="18"/>
              </w:rPr>
              <w:t>█</w:t>
            </w:r>
          </w:p>
        </w:tc>
        <w:tc>
          <w:tcPr>
            <w:tcW w:w="1368" w:type="dxa"/>
            <w:shd w:val="clear" w:color="auto" w:fill="FFFFFF"/>
          </w:tcPr>
          <w:p w14:paraId="647F0E4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~4.1</w:t>
            </w:r>
            <w:r w:rsidRPr="00180982">
              <w:rPr>
                <w:rFonts w:ascii="Arial" w:hAnsi="Arial" w:cs="Arial"/>
                <w:sz w:val="18"/>
              </w:rPr>
              <w:t>█</w:t>
            </w:r>
          </w:p>
        </w:tc>
      </w:tr>
      <w:tr w:rsidR="00EE633F" w:rsidRPr="00180982" w14:paraId="79EA2DAC" w14:textId="77777777">
        <w:trPr>
          <w:jc w:val="center"/>
        </w:trPr>
        <w:tc>
          <w:tcPr>
            <w:tcW w:w="2304" w:type="dxa"/>
            <w:shd w:val="clear" w:color="auto" w:fill="EAF2FF"/>
          </w:tcPr>
          <w:p w14:paraId="157069B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Total OpEx (USD M)</w:t>
            </w:r>
          </w:p>
        </w:tc>
        <w:tc>
          <w:tcPr>
            <w:tcW w:w="1368" w:type="dxa"/>
            <w:shd w:val="clear" w:color="auto" w:fill="EAF2FF"/>
          </w:tcPr>
          <w:p w14:paraId="149563C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~1.87</w:t>
            </w:r>
            <w:r w:rsidRPr="00180982">
              <w:rPr>
                <w:rFonts w:ascii="Arial" w:hAnsi="Arial" w:cs="Arial"/>
                <w:sz w:val="18"/>
              </w:rPr>
              <w:t>█</w:t>
            </w:r>
          </w:p>
        </w:tc>
        <w:tc>
          <w:tcPr>
            <w:tcW w:w="1368" w:type="dxa"/>
            <w:shd w:val="clear" w:color="auto" w:fill="EAF2FF"/>
          </w:tcPr>
          <w:p w14:paraId="4221CD9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~2.17</w:t>
            </w:r>
            <w:r w:rsidRPr="00180982">
              <w:rPr>
                <w:rFonts w:ascii="Arial" w:hAnsi="Arial" w:cs="Arial"/>
                <w:sz w:val="18"/>
              </w:rPr>
              <w:t>█</w:t>
            </w:r>
          </w:p>
        </w:tc>
        <w:tc>
          <w:tcPr>
            <w:tcW w:w="1368" w:type="dxa"/>
            <w:shd w:val="clear" w:color="auto" w:fill="EAF2FF"/>
          </w:tcPr>
          <w:p w14:paraId="25D9F7B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~2.35</w:t>
            </w:r>
            <w:r w:rsidRPr="00180982">
              <w:rPr>
                <w:rFonts w:ascii="Arial" w:hAnsi="Arial" w:cs="Arial"/>
                <w:sz w:val="18"/>
              </w:rPr>
              <w:t>█</w:t>
            </w:r>
          </w:p>
        </w:tc>
        <w:tc>
          <w:tcPr>
            <w:tcW w:w="1368" w:type="dxa"/>
            <w:shd w:val="clear" w:color="auto" w:fill="EAF2FF"/>
          </w:tcPr>
          <w:p w14:paraId="3600449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~2.55</w:t>
            </w:r>
            <w:r w:rsidRPr="00180982">
              <w:rPr>
                <w:rFonts w:ascii="Arial" w:hAnsi="Arial" w:cs="Arial"/>
                <w:sz w:val="18"/>
              </w:rPr>
              <w:t>█</w:t>
            </w:r>
          </w:p>
        </w:tc>
        <w:tc>
          <w:tcPr>
            <w:tcW w:w="1368" w:type="dxa"/>
            <w:shd w:val="clear" w:color="auto" w:fill="EAF2FF"/>
          </w:tcPr>
          <w:p w14:paraId="43539E3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~2.65</w:t>
            </w:r>
            <w:r w:rsidRPr="00180982">
              <w:rPr>
                <w:rFonts w:ascii="Arial" w:hAnsi="Arial" w:cs="Arial"/>
                <w:sz w:val="18"/>
              </w:rPr>
              <w:t>█</w:t>
            </w:r>
          </w:p>
        </w:tc>
      </w:tr>
      <w:tr w:rsidR="00EE633F" w:rsidRPr="00180982" w14:paraId="524E54F4" w14:textId="77777777">
        <w:trPr>
          <w:jc w:val="center"/>
        </w:trPr>
        <w:tc>
          <w:tcPr>
            <w:tcW w:w="2304" w:type="dxa"/>
            <w:shd w:val="clear" w:color="auto" w:fill="FFFFFF"/>
          </w:tcPr>
          <w:p w14:paraId="27E7236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EBITDA (USD M)</w:t>
            </w:r>
          </w:p>
        </w:tc>
        <w:tc>
          <w:tcPr>
            <w:tcW w:w="1368" w:type="dxa"/>
            <w:shd w:val="clear" w:color="auto" w:fill="FFFFFF"/>
          </w:tcPr>
          <w:p w14:paraId="69472E3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~0.23</w:t>
            </w:r>
            <w:r w:rsidRPr="00180982">
              <w:rPr>
                <w:rFonts w:ascii="Arial" w:hAnsi="Arial" w:cs="Arial"/>
                <w:sz w:val="18"/>
              </w:rPr>
              <w:t>█</w:t>
            </w:r>
          </w:p>
        </w:tc>
        <w:tc>
          <w:tcPr>
            <w:tcW w:w="1368" w:type="dxa"/>
            <w:shd w:val="clear" w:color="auto" w:fill="FFFFFF"/>
          </w:tcPr>
          <w:p w14:paraId="6AC4EC7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~0.53</w:t>
            </w:r>
            <w:r w:rsidRPr="00180982">
              <w:rPr>
                <w:rFonts w:ascii="Arial" w:hAnsi="Arial" w:cs="Arial"/>
                <w:sz w:val="18"/>
              </w:rPr>
              <w:t>█</w:t>
            </w:r>
          </w:p>
        </w:tc>
        <w:tc>
          <w:tcPr>
            <w:tcW w:w="1368" w:type="dxa"/>
            <w:shd w:val="clear" w:color="auto" w:fill="FFFFFF"/>
          </w:tcPr>
          <w:p w14:paraId="1FB06E1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~0.85</w:t>
            </w:r>
            <w:r w:rsidRPr="00180982">
              <w:rPr>
                <w:rFonts w:ascii="Arial" w:hAnsi="Arial" w:cs="Arial"/>
                <w:sz w:val="18"/>
              </w:rPr>
              <w:t>█</w:t>
            </w:r>
          </w:p>
        </w:tc>
        <w:tc>
          <w:tcPr>
            <w:tcW w:w="1368" w:type="dxa"/>
            <w:shd w:val="clear" w:color="auto" w:fill="FFFFFF"/>
          </w:tcPr>
          <w:p w14:paraId="4E7B5E1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~1.15</w:t>
            </w:r>
            <w:r w:rsidRPr="00180982">
              <w:rPr>
                <w:rFonts w:ascii="Arial" w:hAnsi="Arial" w:cs="Arial"/>
                <w:sz w:val="18"/>
              </w:rPr>
              <w:t>█</w:t>
            </w:r>
          </w:p>
        </w:tc>
        <w:tc>
          <w:tcPr>
            <w:tcW w:w="1368" w:type="dxa"/>
            <w:shd w:val="clear" w:color="auto" w:fill="FFFFFF"/>
          </w:tcPr>
          <w:p w14:paraId="6DD6538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~1.45</w:t>
            </w:r>
            <w:r w:rsidRPr="00180982">
              <w:rPr>
                <w:rFonts w:ascii="Arial" w:hAnsi="Arial" w:cs="Arial"/>
                <w:sz w:val="18"/>
              </w:rPr>
              <w:t>█</w:t>
            </w:r>
          </w:p>
        </w:tc>
      </w:tr>
      <w:tr w:rsidR="00EE633F" w:rsidRPr="00180982" w14:paraId="0494104D" w14:textId="77777777">
        <w:trPr>
          <w:jc w:val="center"/>
        </w:trPr>
        <w:tc>
          <w:tcPr>
            <w:tcW w:w="2304" w:type="dxa"/>
            <w:shd w:val="clear" w:color="auto" w:fill="EAF2FF"/>
          </w:tcPr>
          <w:p w14:paraId="221DED6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EBITDA Margin</w:t>
            </w:r>
          </w:p>
        </w:tc>
        <w:tc>
          <w:tcPr>
            <w:tcW w:w="1368" w:type="dxa"/>
            <w:shd w:val="clear" w:color="auto" w:fill="EAF2FF"/>
          </w:tcPr>
          <w:p w14:paraId="712A782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~11%</w:t>
            </w:r>
          </w:p>
        </w:tc>
        <w:tc>
          <w:tcPr>
            <w:tcW w:w="1368" w:type="dxa"/>
            <w:shd w:val="clear" w:color="auto" w:fill="EAF2FF"/>
          </w:tcPr>
          <w:p w14:paraId="0550CFF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~19%</w:t>
            </w:r>
          </w:p>
        </w:tc>
        <w:tc>
          <w:tcPr>
            <w:tcW w:w="1368" w:type="dxa"/>
            <w:shd w:val="clear" w:color="auto" w:fill="EAF2FF"/>
          </w:tcPr>
          <w:p w14:paraId="0847993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~27%</w:t>
            </w:r>
          </w:p>
        </w:tc>
        <w:tc>
          <w:tcPr>
            <w:tcW w:w="1368" w:type="dxa"/>
            <w:shd w:val="clear" w:color="auto" w:fill="EAF2FF"/>
          </w:tcPr>
          <w:p w14:paraId="3DCE96D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~31%</w:t>
            </w:r>
          </w:p>
        </w:tc>
        <w:tc>
          <w:tcPr>
            <w:tcW w:w="1368" w:type="dxa"/>
            <w:shd w:val="clear" w:color="auto" w:fill="EAF2FF"/>
          </w:tcPr>
          <w:p w14:paraId="397CD21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~35%</w:t>
            </w:r>
          </w:p>
        </w:tc>
      </w:tr>
      <w:tr w:rsidR="00EE633F" w:rsidRPr="00180982" w14:paraId="3910B7CB" w14:textId="77777777">
        <w:trPr>
          <w:jc w:val="center"/>
        </w:trPr>
        <w:tc>
          <w:tcPr>
            <w:tcW w:w="2304" w:type="dxa"/>
            <w:shd w:val="clear" w:color="auto" w:fill="FFFFFF"/>
          </w:tcPr>
          <w:p w14:paraId="3F4214F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Net Profit / (Loss)</w:t>
            </w:r>
          </w:p>
        </w:tc>
        <w:tc>
          <w:tcPr>
            <w:tcW w:w="1368" w:type="dxa"/>
            <w:shd w:val="clear" w:color="auto" w:fill="FFFFFF"/>
          </w:tcPr>
          <w:p w14:paraId="652A398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(0.1</w:t>
            </w:r>
            <w:r w:rsidRPr="00180982">
              <w:rPr>
                <w:rFonts w:ascii="Arial" w:hAnsi="Arial" w:cs="Arial"/>
                <w:sz w:val="18"/>
              </w:rPr>
              <w:t>█</w:t>
            </w:r>
            <w:r w:rsidRPr="00180982">
              <w:rPr>
                <w:rFonts w:asciiTheme="majorHAnsi" w:hAnsiTheme="majorHAnsi" w:cstheme="majorHAnsi"/>
                <w:sz w:val="18"/>
              </w:rPr>
              <w:t>)</w:t>
            </w:r>
          </w:p>
        </w:tc>
        <w:tc>
          <w:tcPr>
            <w:tcW w:w="1368" w:type="dxa"/>
            <w:shd w:val="clear" w:color="auto" w:fill="FFFFFF"/>
          </w:tcPr>
          <w:p w14:paraId="1FED603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0.1</w:t>
            </w:r>
            <w:r w:rsidRPr="00180982">
              <w:rPr>
                <w:rFonts w:ascii="Arial" w:hAnsi="Arial" w:cs="Arial"/>
                <w:sz w:val="18"/>
              </w:rPr>
              <w:t>█</w:t>
            </w:r>
          </w:p>
        </w:tc>
        <w:tc>
          <w:tcPr>
            <w:tcW w:w="1368" w:type="dxa"/>
            <w:shd w:val="clear" w:color="auto" w:fill="FFFFFF"/>
          </w:tcPr>
          <w:p w14:paraId="7091AB1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0.5</w:t>
            </w:r>
            <w:r w:rsidRPr="00180982">
              <w:rPr>
                <w:rFonts w:ascii="Arial" w:hAnsi="Arial" w:cs="Arial"/>
                <w:sz w:val="18"/>
              </w:rPr>
              <w:t>█</w:t>
            </w:r>
          </w:p>
        </w:tc>
        <w:tc>
          <w:tcPr>
            <w:tcW w:w="1368" w:type="dxa"/>
            <w:shd w:val="clear" w:color="auto" w:fill="FFFFFF"/>
          </w:tcPr>
          <w:p w14:paraId="1F5EAF7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0.8</w:t>
            </w:r>
            <w:r w:rsidRPr="00180982">
              <w:rPr>
                <w:rFonts w:ascii="Arial" w:hAnsi="Arial" w:cs="Arial"/>
                <w:sz w:val="18"/>
              </w:rPr>
              <w:t>█</w:t>
            </w:r>
          </w:p>
        </w:tc>
        <w:tc>
          <w:tcPr>
            <w:tcW w:w="1368" w:type="dxa"/>
            <w:shd w:val="clear" w:color="auto" w:fill="FFFFFF"/>
          </w:tcPr>
          <w:p w14:paraId="0E7EFF3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1.1</w:t>
            </w:r>
            <w:r w:rsidRPr="00180982">
              <w:rPr>
                <w:rFonts w:ascii="Arial" w:hAnsi="Arial" w:cs="Arial"/>
                <w:sz w:val="18"/>
              </w:rPr>
              <w:t>█</w:t>
            </w:r>
          </w:p>
        </w:tc>
      </w:tr>
    </w:tbl>
    <w:p w14:paraId="5167BB0A" w14:textId="77777777" w:rsidR="00EE633F" w:rsidRPr="00180982" w:rsidRDefault="00EE633F">
      <w:pPr>
        <w:spacing w:after="80"/>
        <w:rPr>
          <w:rFonts w:asciiTheme="majorHAnsi" w:hAnsiTheme="majorHAnsi" w:cstheme="majorHAnsi"/>
        </w:rPr>
      </w:pPr>
    </w:p>
    <w:p w14:paraId="137F55BD" w14:textId="77777777" w:rsidR="00EE633F" w:rsidRPr="00180982" w:rsidRDefault="00000000">
      <w:pPr>
        <w:jc w:val="center"/>
        <w:rPr>
          <w:rFonts w:asciiTheme="majorHAnsi" w:hAnsiTheme="majorHAnsi" w:cstheme="majorHAnsi"/>
        </w:rPr>
      </w:pPr>
      <w:r w:rsidRPr="00180982">
        <w:rPr>
          <w:rFonts w:asciiTheme="majorHAnsi" w:hAnsiTheme="majorHAnsi" w:cstheme="majorHAnsi"/>
          <w:noProof/>
        </w:rPr>
        <w:lastRenderedPageBreak/>
        <w:drawing>
          <wp:inline distT="0" distB="0" distL="0" distR="0" wp14:anchorId="2C62B648" wp14:editId="61F7B7A7">
            <wp:extent cx="5486400" cy="30251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hotel_financials.png"/>
                    <pic:cNvPicPr/>
                  </pic:nvPicPr>
                  <pic:blipFill>
                    <a:blip r:embed="rId10"/>
                    <a:stretch>
                      <a:fillRect/>
                    </a:stretch>
                  </pic:blipFill>
                  <pic:spPr>
                    <a:xfrm>
                      <a:off x="0" y="0"/>
                      <a:ext cx="5486400" cy="3025134"/>
                    </a:xfrm>
                    <a:prstGeom prst="rect">
                      <a:avLst/>
                    </a:prstGeom>
                  </pic:spPr>
                </pic:pic>
              </a:graphicData>
            </a:graphic>
          </wp:inline>
        </w:drawing>
      </w:r>
    </w:p>
    <w:p w14:paraId="1708E4BE"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6.4  Break-Even Analysis</w:t>
      </w:r>
    </w:p>
    <w:p w14:paraId="4B3BFF86" w14:textId="77777777" w:rsidR="00EE633F" w:rsidRPr="00180982" w:rsidRDefault="00000000">
      <w:pPr>
        <w:spacing w:after="100"/>
        <w:rPr>
          <w:rFonts w:asciiTheme="majorHAnsi" w:hAnsiTheme="majorHAnsi" w:cstheme="majorHAnsi"/>
        </w:rPr>
      </w:pPr>
      <w:r w:rsidRPr="00180982">
        <w:rPr>
          <w:rFonts w:asciiTheme="majorHAnsi" w:hAnsiTheme="majorHAnsi" w:cstheme="majorHAnsi"/>
          <w:color w:val="17202A"/>
          <w:sz w:val="20"/>
        </w:rPr>
        <w:t>Assuming an indicative ADR and a variable cost per occupied room, the break-even occupancy rate is approximately 48% of total capacity on an annualised basis. With Year 1 occupancy projected at 55%, the property is designed to exceed break-even in its first full year of operation, subject to confirmation of CAPEX and cost assumptions in the full feasibility stage.</w:t>
      </w:r>
    </w:p>
    <w:p w14:paraId="57C6A1DA" w14:textId="77777777" w:rsidR="00EE633F" w:rsidRPr="00180982" w:rsidRDefault="00000000">
      <w:pPr>
        <w:jc w:val="center"/>
        <w:rPr>
          <w:rFonts w:asciiTheme="majorHAnsi" w:hAnsiTheme="majorHAnsi" w:cstheme="majorHAnsi"/>
        </w:rPr>
      </w:pPr>
      <w:r w:rsidRPr="00180982">
        <w:rPr>
          <w:rFonts w:asciiTheme="majorHAnsi" w:hAnsiTheme="majorHAnsi" w:cstheme="majorHAnsi"/>
          <w:noProof/>
        </w:rPr>
        <w:drawing>
          <wp:inline distT="0" distB="0" distL="0" distR="0" wp14:anchorId="774D7727" wp14:editId="71E10C2D">
            <wp:extent cx="5303520" cy="29902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hotel_breakeven.png"/>
                    <pic:cNvPicPr/>
                  </pic:nvPicPr>
                  <pic:blipFill>
                    <a:blip r:embed="rId11"/>
                    <a:stretch>
                      <a:fillRect/>
                    </a:stretch>
                  </pic:blipFill>
                  <pic:spPr>
                    <a:xfrm>
                      <a:off x="0" y="0"/>
                      <a:ext cx="5303520" cy="2990283"/>
                    </a:xfrm>
                    <a:prstGeom prst="rect">
                      <a:avLst/>
                    </a:prstGeom>
                  </pic:spPr>
                </pic:pic>
              </a:graphicData>
            </a:graphic>
          </wp:inline>
        </w:drawing>
      </w:r>
    </w:p>
    <w:p w14:paraId="40AA1624" w14:textId="77777777" w:rsidR="00180982" w:rsidRDefault="00180982">
      <w:pPr>
        <w:spacing w:before="120" w:after="60"/>
        <w:rPr>
          <w:rFonts w:asciiTheme="majorHAnsi" w:hAnsiTheme="majorHAnsi" w:cstheme="majorHAnsi"/>
          <w:b/>
          <w:color w:val="2E86C1"/>
          <w:sz w:val="23"/>
        </w:rPr>
      </w:pPr>
    </w:p>
    <w:p w14:paraId="69EFFC78" w14:textId="77777777" w:rsidR="00180982" w:rsidRDefault="00180982">
      <w:pPr>
        <w:spacing w:before="120" w:after="60"/>
        <w:rPr>
          <w:rFonts w:asciiTheme="majorHAnsi" w:hAnsiTheme="majorHAnsi" w:cstheme="majorHAnsi"/>
          <w:b/>
          <w:color w:val="2E86C1"/>
          <w:sz w:val="23"/>
        </w:rPr>
      </w:pPr>
    </w:p>
    <w:p w14:paraId="6ABA8AB7" w14:textId="77777777" w:rsidR="00180982" w:rsidRDefault="00180982">
      <w:pPr>
        <w:spacing w:before="120" w:after="60"/>
        <w:rPr>
          <w:rFonts w:asciiTheme="majorHAnsi" w:hAnsiTheme="majorHAnsi" w:cstheme="majorHAnsi"/>
          <w:b/>
          <w:color w:val="2E86C1"/>
          <w:sz w:val="23"/>
        </w:rPr>
      </w:pPr>
    </w:p>
    <w:p w14:paraId="6E9096C9" w14:textId="77777777" w:rsidR="00180982" w:rsidRDefault="00180982">
      <w:pPr>
        <w:spacing w:before="120" w:after="60"/>
        <w:rPr>
          <w:rFonts w:asciiTheme="majorHAnsi" w:hAnsiTheme="majorHAnsi" w:cstheme="majorHAnsi"/>
          <w:b/>
          <w:color w:val="2E86C1"/>
          <w:sz w:val="23"/>
        </w:rPr>
      </w:pPr>
    </w:p>
    <w:p w14:paraId="7A3C10CB" w14:textId="11686FAA" w:rsidR="00EE633F" w:rsidRPr="00180982" w:rsidRDefault="00000000">
      <w:pPr>
        <w:spacing w:before="120" w:after="60"/>
        <w:rPr>
          <w:rFonts w:asciiTheme="majorHAnsi" w:hAnsiTheme="majorHAnsi" w:cstheme="majorHAnsi"/>
        </w:rPr>
      </w:pPr>
      <w:proofErr w:type="gramStart"/>
      <w:r w:rsidRPr="00180982">
        <w:rPr>
          <w:rFonts w:asciiTheme="majorHAnsi" w:hAnsiTheme="majorHAnsi" w:cstheme="majorHAnsi"/>
          <w:b/>
          <w:color w:val="2E86C1"/>
          <w:sz w:val="23"/>
        </w:rPr>
        <w:lastRenderedPageBreak/>
        <w:t>6.5  Key</w:t>
      </w:r>
      <w:proofErr w:type="gramEnd"/>
      <w:r w:rsidRPr="00180982">
        <w:rPr>
          <w:rFonts w:asciiTheme="majorHAnsi" w:hAnsiTheme="majorHAnsi" w:cstheme="majorHAnsi"/>
          <w:b/>
          <w:color w:val="2E86C1"/>
          <w:sz w:val="23"/>
        </w:rPr>
        <w:t xml:space="preserve"> Return Metrics</w:t>
      </w:r>
    </w:p>
    <w:tbl>
      <w:tblPr>
        <w:tblStyle w:val="TableGrid"/>
        <w:tblW w:w="0" w:type="auto"/>
        <w:jc w:val="center"/>
        <w:tblLook w:val="04A0" w:firstRow="1" w:lastRow="0" w:firstColumn="1" w:lastColumn="0" w:noHBand="0" w:noVBand="1"/>
      </w:tblPr>
      <w:tblGrid>
        <w:gridCol w:w="2880"/>
        <w:gridCol w:w="2880"/>
        <w:gridCol w:w="3024"/>
      </w:tblGrid>
      <w:tr w:rsidR="00EE633F" w:rsidRPr="00180982" w14:paraId="35D29C80" w14:textId="77777777">
        <w:trPr>
          <w:jc w:val="center"/>
        </w:trPr>
        <w:tc>
          <w:tcPr>
            <w:tcW w:w="2880" w:type="dxa"/>
            <w:shd w:val="clear" w:color="auto" w:fill="1B4F72"/>
          </w:tcPr>
          <w:p w14:paraId="6D5D2B7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Metric</w:t>
            </w:r>
          </w:p>
        </w:tc>
        <w:tc>
          <w:tcPr>
            <w:tcW w:w="2880" w:type="dxa"/>
            <w:shd w:val="clear" w:color="auto" w:fill="1B4F72"/>
          </w:tcPr>
          <w:p w14:paraId="2A59477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Indicative Result</w:t>
            </w:r>
          </w:p>
        </w:tc>
        <w:tc>
          <w:tcPr>
            <w:tcW w:w="3024" w:type="dxa"/>
            <w:shd w:val="clear" w:color="auto" w:fill="1B4F72"/>
          </w:tcPr>
          <w:p w14:paraId="3E17E5A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Basis</w:t>
            </w:r>
          </w:p>
        </w:tc>
      </w:tr>
      <w:tr w:rsidR="00EE633F" w:rsidRPr="00180982" w14:paraId="3E987D51" w14:textId="77777777">
        <w:trPr>
          <w:jc w:val="center"/>
        </w:trPr>
        <w:tc>
          <w:tcPr>
            <w:tcW w:w="2880" w:type="dxa"/>
            <w:shd w:val="clear" w:color="auto" w:fill="EAF2FF"/>
          </w:tcPr>
          <w:p w14:paraId="6BCAA9F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NPV @ 10% Discount Rate</w:t>
            </w:r>
          </w:p>
        </w:tc>
        <w:tc>
          <w:tcPr>
            <w:tcW w:w="2880" w:type="dxa"/>
            <w:shd w:val="clear" w:color="auto" w:fill="EAF2FF"/>
          </w:tcPr>
          <w:p w14:paraId="58E8912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Positive (USD 4</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r w:rsidRPr="00180982">
              <w:rPr>
                <w:rFonts w:asciiTheme="majorHAnsi" w:hAnsiTheme="majorHAnsi" w:cstheme="majorHAnsi"/>
                <w:sz w:val="18"/>
              </w:rPr>
              <w:t>)</w:t>
            </w:r>
          </w:p>
        </w:tc>
        <w:tc>
          <w:tcPr>
            <w:tcW w:w="3024" w:type="dxa"/>
            <w:shd w:val="clear" w:color="auto" w:fill="EAF2FF"/>
          </w:tcPr>
          <w:p w14:paraId="6D144B4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5-year base-case model; actual figure redacted</w:t>
            </w:r>
          </w:p>
        </w:tc>
      </w:tr>
      <w:tr w:rsidR="00EE633F" w:rsidRPr="00180982" w14:paraId="69E2FA4D" w14:textId="77777777">
        <w:trPr>
          <w:jc w:val="center"/>
        </w:trPr>
        <w:tc>
          <w:tcPr>
            <w:tcW w:w="2880" w:type="dxa"/>
            <w:shd w:val="clear" w:color="auto" w:fill="FFFFFF"/>
          </w:tcPr>
          <w:p w14:paraId="7B0C71F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Internal Rate of Return (IRR)</w:t>
            </w:r>
          </w:p>
        </w:tc>
        <w:tc>
          <w:tcPr>
            <w:tcW w:w="2880" w:type="dxa"/>
            <w:shd w:val="clear" w:color="auto" w:fill="FFFFFF"/>
          </w:tcPr>
          <w:p w14:paraId="277C7C3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~18%–23% range</w:t>
            </w:r>
          </w:p>
        </w:tc>
        <w:tc>
          <w:tcPr>
            <w:tcW w:w="3024" w:type="dxa"/>
            <w:shd w:val="clear" w:color="auto" w:fill="FFFFFF"/>
          </w:tcPr>
          <w:p w14:paraId="6DB5935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Scenario-dependent; to be confirmed in full model</w:t>
            </w:r>
          </w:p>
        </w:tc>
      </w:tr>
      <w:tr w:rsidR="00EE633F" w:rsidRPr="00180982" w14:paraId="20761335" w14:textId="77777777">
        <w:trPr>
          <w:jc w:val="center"/>
        </w:trPr>
        <w:tc>
          <w:tcPr>
            <w:tcW w:w="2880" w:type="dxa"/>
            <w:shd w:val="clear" w:color="auto" w:fill="EAF2FF"/>
          </w:tcPr>
          <w:p w14:paraId="43A939B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Payback Period</w:t>
            </w:r>
          </w:p>
        </w:tc>
        <w:tc>
          <w:tcPr>
            <w:tcW w:w="2880" w:type="dxa"/>
            <w:shd w:val="clear" w:color="auto" w:fill="EAF2FF"/>
          </w:tcPr>
          <w:p w14:paraId="4E17B78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~3.5 years</w:t>
            </w:r>
          </w:p>
        </w:tc>
        <w:tc>
          <w:tcPr>
            <w:tcW w:w="3024" w:type="dxa"/>
            <w:shd w:val="clear" w:color="auto" w:fill="EAF2FF"/>
          </w:tcPr>
          <w:p w14:paraId="7EE7DF7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Base case; range 3.2–4.5 years across scenarios</w:t>
            </w:r>
          </w:p>
        </w:tc>
      </w:tr>
      <w:tr w:rsidR="00EE633F" w:rsidRPr="00180982" w14:paraId="15A1A737" w14:textId="77777777">
        <w:trPr>
          <w:jc w:val="center"/>
        </w:trPr>
        <w:tc>
          <w:tcPr>
            <w:tcW w:w="2880" w:type="dxa"/>
            <w:shd w:val="clear" w:color="auto" w:fill="FFFFFF"/>
          </w:tcPr>
          <w:p w14:paraId="6CCBACB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Gross Profit Margin (Year 1)</w:t>
            </w:r>
          </w:p>
        </w:tc>
        <w:tc>
          <w:tcPr>
            <w:tcW w:w="2880" w:type="dxa"/>
            <w:shd w:val="clear" w:color="auto" w:fill="FFFFFF"/>
          </w:tcPr>
          <w:p w14:paraId="5CAD1DB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~40%</w:t>
            </w:r>
          </w:p>
        </w:tc>
        <w:tc>
          <w:tcPr>
            <w:tcW w:w="3024" w:type="dxa"/>
            <w:shd w:val="clear" w:color="auto" w:fill="FFFFFF"/>
          </w:tcPr>
          <w:p w14:paraId="785951B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After direct room and F&amp;B costs</w:t>
            </w:r>
          </w:p>
        </w:tc>
      </w:tr>
      <w:tr w:rsidR="00EE633F" w:rsidRPr="00180982" w14:paraId="019D74F3" w14:textId="77777777">
        <w:trPr>
          <w:jc w:val="center"/>
        </w:trPr>
        <w:tc>
          <w:tcPr>
            <w:tcW w:w="2880" w:type="dxa"/>
            <w:shd w:val="clear" w:color="auto" w:fill="EAF2FF"/>
          </w:tcPr>
          <w:p w14:paraId="75989DA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EBITDA Margin (Stabilisation Y5)</w:t>
            </w:r>
          </w:p>
        </w:tc>
        <w:tc>
          <w:tcPr>
            <w:tcW w:w="2880" w:type="dxa"/>
            <w:shd w:val="clear" w:color="auto" w:fill="EAF2FF"/>
          </w:tcPr>
          <w:p w14:paraId="7AE5041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~35%</w:t>
            </w:r>
          </w:p>
        </w:tc>
        <w:tc>
          <w:tcPr>
            <w:tcW w:w="3024" w:type="dxa"/>
            <w:shd w:val="clear" w:color="auto" w:fill="EAF2FF"/>
          </w:tcPr>
          <w:p w14:paraId="3EDB642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Indicative, pre-depreciation and interest</w:t>
            </w:r>
          </w:p>
        </w:tc>
      </w:tr>
      <w:tr w:rsidR="00EE633F" w:rsidRPr="00180982" w14:paraId="595E8611" w14:textId="77777777">
        <w:trPr>
          <w:jc w:val="center"/>
        </w:trPr>
        <w:tc>
          <w:tcPr>
            <w:tcW w:w="2880" w:type="dxa"/>
            <w:shd w:val="clear" w:color="auto" w:fill="FFFFFF"/>
          </w:tcPr>
          <w:p w14:paraId="109C46C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Return on Equity (Year 5)</w:t>
            </w:r>
          </w:p>
        </w:tc>
        <w:tc>
          <w:tcPr>
            <w:tcW w:w="2880" w:type="dxa"/>
            <w:shd w:val="clear" w:color="auto" w:fill="FFFFFF"/>
          </w:tcPr>
          <w:p w14:paraId="5653F21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t>
            </w:r>
            <w:r w:rsidRPr="00180982">
              <w:rPr>
                <w:rFonts w:ascii="Arial" w:hAnsi="Arial" w:cs="Arial"/>
                <w:sz w:val="18"/>
              </w:rPr>
              <w:t>██</w:t>
            </w:r>
            <w:r w:rsidRPr="00180982">
              <w:rPr>
                <w:rFonts w:asciiTheme="majorHAnsi" w:hAnsiTheme="majorHAnsi" w:cstheme="majorHAnsi"/>
                <w:sz w:val="18"/>
              </w:rPr>
              <w:t>%</w:t>
            </w:r>
          </w:p>
        </w:tc>
        <w:tc>
          <w:tcPr>
            <w:tcW w:w="3024" w:type="dxa"/>
            <w:shd w:val="clear" w:color="auto" w:fill="FFFFFF"/>
          </w:tcPr>
          <w:p w14:paraId="6D7C6C9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Equity-share dependent; actual redacted</w:t>
            </w:r>
          </w:p>
        </w:tc>
      </w:tr>
    </w:tbl>
    <w:p w14:paraId="1A4A106C" w14:textId="77777777" w:rsidR="00EE633F" w:rsidRPr="00180982" w:rsidRDefault="00EE633F">
      <w:pPr>
        <w:spacing w:after="80"/>
        <w:rPr>
          <w:rFonts w:asciiTheme="majorHAnsi" w:hAnsiTheme="majorHAnsi" w:cstheme="majorHAnsi"/>
        </w:rPr>
      </w:pPr>
    </w:p>
    <w:p w14:paraId="2664B556" w14:textId="77777777" w:rsidR="00EE633F" w:rsidRPr="00180982" w:rsidRDefault="00000000">
      <w:pPr>
        <w:rPr>
          <w:rFonts w:asciiTheme="majorHAnsi" w:hAnsiTheme="majorHAnsi" w:cstheme="majorHAnsi"/>
        </w:rPr>
      </w:pPr>
      <w:r w:rsidRPr="00180982">
        <w:rPr>
          <w:rFonts w:asciiTheme="majorHAnsi" w:hAnsiTheme="majorHAnsi" w:cstheme="majorHAnsi"/>
        </w:rPr>
        <w:br w:type="page"/>
      </w:r>
    </w:p>
    <w:p w14:paraId="008D5D44" w14:textId="77777777" w:rsidR="00EE633F" w:rsidRPr="00180982" w:rsidRDefault="00000000">
      <w:pPr>
        <w:spacing w:before="200" w:after="80"/>
        <w:rPr>
          <w:rFonts w:asciiTheme="majorHAnsi" w:hAnsiTheme="majorHAnsi" w:cstheme="majorHAnsi"/>
        </w:rPr>
      </w:pPr>
      <w:r w:rsidRPr="00180982">
        <w:rPr>
          <w:rFonts w:asciiTheme="majorHAnsi" w:hAnsiTheme="majorHAnsi" w:cstheme="majorHAnsi"/>
          <w:b/>
          <w:color w:val="1B4F72"/>
          <w:sz w:val="28"/>
        </w:rPr>
        <w:lastRenderedPageBreak/>
        <w:t>7.  Sensitivity Analysis</w:t>
      </w:r>
    </w:p>
    <w:p w14:paraId="4A3FB5F2" w14:textId="77777777" w:rsidR="00EE633F" w:rsidRPr="00180982" w:rsidRDefault="00000000">
      <w:pPr>
        <w:rPr>
          <w:rFonts w:asciiTheme="majorHAnsi" w:hAnsiTheme="majorHAnsi" w:cstheme="majorHAnsi"/>
        </w:rPr>
      </w:pPr>
      <w:r w:rsidRPr="00180982">
        <w:rPr>
          <w:rFonts w:asciiTheme="majorHAnsi" w:hAnsiTheme="majorHAnsi" w:cstheme="majorHAnsi"/>
          <w:color w:val="BDC3C7"/>
          <w:sz w:val="14"/>
        </w:rPr>
        <w:t>──────────────────────────────────────────────────────────────────────────────────────────────────────────────</w:t>
      </w:r>
    </w:p>
    <w:p w14:paraId="0933E042" w14:textId="77777777" w:rsidR="00EE633F" w:rsidRPr="00180982" w:rsidRDefault="00000000">
      <w:pPr>
        <w:spacing w:after="100"/>
        <w:rPr>
          <w:rFonts w:asciiTheme="majorHAnsi" w:hAnsiTheme="majorHAnsi" w:cstheme="majorHAnsi"/>
        </w:rPr>
      </w:pPr>
      <w:r w:rsidRPr="00180982">
        <w:rPr>
          <w:rFonts w:asciiTheme="majorHAnsi" w:hAnsiTheme="majorHAnsi" w:cstheme="majorHAnsi"/>
          <w:color w:val="17202A"/>
          <w:sz w:val="20"/>
        </w:rPr>
        <w:t>Three scenarios were tested to evaluate project robustness against variations in key variables. Actual financial outputs are redacted; directional findings only are presented.</w:t>
      </w:r>
    </w:p>
    <w:tbl>
      <w:tblPr>
        <w:tblStyle w:val="TableGrid"/>
        <w:tblW w:w="0" w:type="auto"/>
        <w:jc w:val="center"/>
        <w:tblLook w:val="04A0" w:firstRow="1" w:lastRow="0" w:firstColumn="1" w:lastColumn="0" w:noHBand="0" w:noVBand="1"/>
      </w:tblPr>
      <w:tblGrid>
        <w:gridCol w:w="1575"/>
        <w:gridCol w:w="3281"/>
        <w:gridCol w:w="1715"/>
        <w:gridCol w:w="1860"/>
        <w:gridCol w:w="1145"/>
      </w:tblGrid>
      <w:tr w:rsidR="00EE633F" w:rsidRPr="00180982" w14:paraId="0E2902C3" w14:textId="77777777">
        <w:trPr>
          <w:jc w:val="center"/>
        </w:trPr>
        <w:tc>
          <w:tcPr>
            <w:tcW w:w="1584" w:type="dxa"/>
            <w:shd w:val="clear" w:color="auto" w:fill="1B4F72"/>
          </w:tcPr>
          <w:p w14:paraId="262EECA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Scenario</w:t>
            </w:r>
          </w:p>
        </w:tc>
        <w:tc>
          <w:tcPr>
            <w:tcW w:w="3312" w:type="dxa"/>
            <w:shd w:val="clear" w:color="auto" w:fill="1B4F72"/>
          </w:tcPr>
          <w:p w14:paraId="713A016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Key Assumptions</w:t>
            </w:r>
          </w:p>
        </w:tc>
        <w:tc>
          <w:tcPr>
            <w:tcW w:w="1728" w:type="dxa"/>
            <w:shd w:val="clear" w:color="auto" w:fill="1B4F72"/>
          </w:tcPr>
          <w:p w14:paraId="5955EAB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Payback Period</w:t>
            </w:r>
          </w:p>
        </w:tc>
        <w:tc>
          <w:tcPr>
            <w:tcW w:w="1872" w:type="dxa"/>
            <w:shd w:val="clear" w:color="auto" w:fill="1B4F72"/>
          </w:tcPr>
          <w:p w14:paraId="501993B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NPV @10%</w:t>
            </w:r>
          </w:p>
        </w:tc>
        <w:tc>
          <w:tcPr>
            <w:tcW w:w="1152" w:type="dxa"/>
            <w:shd w:val="clear" w:color="auto" w:fill="1B4F72"/>
          </w:tcPr>
          <w:p w14:paraId="0045BB2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IRR</w:t>
            </w:r>
          </w:p>
        </w:tc>
      </w:tr>
      <w:tr w:rsidR="00EE633F" w:rsidRPr="00180982" w14:paraId="0B5A8049" w14:textId="77777777">
        <w:trPr>
          <w:jc w:val="center"/>
        </w:trPr>
        <w:tc>
          <w:tcPr>
            <w:tcW w:w="1584" w:type="dxa"/>
            <w:shd w:val="clear" w:color="auto" w:fill="EAF2FF"/>
          </w:tcPr>
          <w:p w14:paraId="565BAC8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Pessimistic</w:t>
            </w:r>
          </w:p>
        </w:tc>
        <w:tc>
          <w:tcPr>
            <w:tcW w:w="3312" w:type="dxa"/>
            <w:shd w:val="clear" w:color="auto" w:fill="EAF2FF"/>
          </w:tcPr>
          <w:p w14:paraId="15F6E6B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Revenue -15%, costs +10%; Y1 occupancy 45%</w:t>
            </w:r>
          </w:p>
        </w:tc>
        <w:tc>
          <w:tcPr>
            <w:tcW w:w="1728" w:type="dxa"/>
            <w:shd w:val="clear" w:color="auto" w:fill="EAF2FF"/>
          </w:tcPr>
          <w:p w14:paraId="3BFE739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~5.0–5.5 years</w:t>
            </w:r>
          </w:p>
        </w:tc>
        <w:tc>
          <w:tcPr>
            <w:tcW w:w="1872" w:type="dxa"/>
            <w:shd w:val="clear" w:color="auto" w:fill="EAF2FF"/>
          </w:tcPr>
          <w:p w14:paraId="2BA64C8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Negative within Y5 window</w:t>
            </w:r>
          </w:p>
        </w:tc>
        <w:tc>
          <w:tcPr>
            <w:tcW w:w="1152" w:type="dxa"/>
            <w:shd w:val="clear" w:color="auto" w:fill="EAF2FF"/>
          </w:tcPr>
          <w:p w14:paraId="25D22EC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t>
            </w:r>
            <w:r w:rsidRPr="00180982">
              <w:rPr>
                <w:rFonts w:ascii="Arial" w:hAnsi="Arial" w:cs="Arial"/>
                <w:sz w:val="18"/>
              </w:rPr>
              <w:t>██</w:t>
            </w:r>
            <w:r w:rsidRPr="00180982">
              <w:rPr>
                <w:rFonts w:asciiTheme="majorHAnsi" w:hAnsiTheme="majorHAnsi" w:cstheme="majorHAnsi"/>
                <w:sz w:val="18"/>
              </w:rPr>
              <w:t>%</w:t>
            </w:r>
          </w:p>
        </w:tc>
      </w:tr>
      <w:tr w:rsidR="00EE633F" w:rsidRPr="00180982" w14:paraId="1981CB71" w14:textId="77777777">
        <w:trPr>
          <w:jc w:val="center"/>
        </w:trPr>
        <w:tc>
          <w:tcPr>
            <w:tcW w:w="1584" w:type="dxa"/>
            <w:shd w:val="clear" w:color="auto" w:fill="FFFFFF"/>
          </w:tcPr>
          <w:p w14:paraId="29F8362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Base Case</w:t>
            </w:r>
          </w:p>
        </w:tc>
        <w:tc>
          <w:tcPr>
            <w:tcW w:w="3312" w:type="dxa"/>
            <w:shd w:val="clear" w:color="auto" w:fill="FFFFFF"/>
          </w:tcPr>
          <w:p w14:paraId="3241600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Revenue per forecast; stable costs; Y1 occupancy 55%</w:t>
            </w:r>
          </w:p>
        </w:tc>
        <w:tc>
          <w:tcPr>
            <w:tcW w:w="1728" w:type="dxa"/>
            <w:shd w:val="clear" w:color="auto" w:fill="FFFFFF"/>
          </w:tcPr>
          <w:p w14:paraId="110D2CA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~3.5 years</w:t>
            </w:r>
          </w:p>
        </w:tc>
        <w:tc>
          <w:tcPr>
            <w:tcW w:w="1872" w:type="dxa"/>
            <w:shd w:val="clear" w:color="auto" w:fill="FFFFFF"/>
          </w:tcPr>
          <w:p w14:paraId="4175F8A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Positive (USD 4</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r w:rsidRPr="00180982">
              <w:rPr>
                <w:rFonts w:asciiTheme="majorHAnsi" w:hAnsiTheme="majorHAnsi" w:cstheme="majorHAnsi"/>
                <w:sz w:val="18"/>
              </w:rPr>
              <w:t>)</w:t>
            </w:r>
          </w:p>
        </w:tc>
        <w:tc>
          <w:tcPr>
            <w:tcW w:w="1152" w:type="dxa"/>
            <w:shd w:val="clear" w:color="auto" w:fill="FFFFFF"/>
          </w:tcPr>
          <w:p w14:paraId="65D0E22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~18–23%</w:t>
            </w:r>
          </w:p>
        </w:tc>
      </w:tr>
      <w:tr w:rsidR="00EE633F" w:rsidRPr="00180982" w14:paraId="638562FC" w14:textId="77777777">
        <w:trPr>
          <w:jc w:val="center"/>
        </w:trPr>
        <w:tc>
          <w:tcPr>
            <w:tcW w:w="1584" w:type="dxa"/>
            <w:shd w:val="clear" w:color="auto" w:fill="EAF2FF"/>
          </w:tcPr>
          <w:p w14:paraId="2366618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Optimistic</w:t>
            </w:r>
          </w:p>
        </w:tc>
        <w:tc>
          <w:tcPr>
            <w:tcW w:w="3312" w:type="dxa"/>
            <w:shd w:val="clear" w:color="auto" w:fill="EAF2FF"/>
          </w:tcPr>
          <w:p w14:paraId="29B849B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Revenue +10%, costs -5%; Y1 occupancy 60%</w:t>
            </w:r>
          </w:p>
        </w:tc>
        <w:tc>
          <w:tcPr>
            <w:tcW w:w="1728" w:type="dxa"/>
            <w:shd w:val="clear" w:color="auto" w:fill="EAF2FF"/>
          </w:tcPr>
          <w:p w14:paraId="1DF0CAD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~2.8 years</w:t>
            </w:r>
          </w:p>
        </w:tc>
        <w:tc>
          <w:tcPr>
            <w:tcW w:w="1872" w:type="dxa"/>
            <w:shd w:val="clear" w:color="auto" w:fill="EAF2FF"/>
          </w:tcPr>
          <w:p w14:paraId="39A39B3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Positive (USD 7</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r w:rsidRPr="00180982">
              <w:rPr>
                <w:rFonts w:asciiTheme="majorHAnsi" w:hAnsiTheme="majorHAnsi" w:cstheme="majorHAnsi"/>
                <w:sz w:val="18"/>
              </w:rPr>
              <w:t>)</w:t>
            </w:r>
          </w:p>
        </w:tc>
        <w:tc>
          <w:tcPr>
            <w:tcW w:w="1152" w:type="dxa"/>
            <w:shd w:val="clear" w:color="auto" w:fill="EAF2FF"/>
          </w:tcPr>
          <w:p w14:paraId="54873EE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~23–28%</w:t>
            </w:r>
          </w:p>
        </w:tc>
      </w:tr>
    </w:tbl>
    <w:p w14:paraId="0F333E6F" w14:textId="77777777" w:rsidR="00EE633F" w:rsidRPr="00180982" w:rsidRDefault="00EE633F">
      <w:pPr>
        <w:spacing w:after="80"/>
        <w:rPr>
          <w:rFonts w:asciiTheme="majorHAnsi" w:hAnsiTheme="majorHAnsi" w:cstheme="majorHAnsi"/>
        </w:rPr>
      </w:pPr>
    </w:p>
    <w:p w14:paraId="3BEED67B" w14:textId="77777777" w:rsidR="00EE633F" w:rsidRPr="00180982" w:rsidRDefault="00000000">
      <w:pPr>
        <w:spacing w:after="100"/>
        <w:rPr>
          <w:rFonts w:asciiTheme="majorHAnsi" w:hAnsiTheme="majorHAnsi" w:cstheme="majorHAnsi"/>
        </w:rPr>
      </w:pPr>
      <w:r w:rsidRPr="00180982">
        <w:rPr>
          <w:rFonts w:asciiTheme="majorHAnsi" w:hAnsiTheme="majorHAnsi" w:cstheme="majorHAnsi"/>
          <w:i/>
          <w:color w:val="7F8C8D"/>
          <w:sz w:val="18"/>
        </w:rPr>
        <w:t>Key Variable Sensitivities: Occupancy rate and ADR are the highest-impact drivers on NPV; NPV declines by ~</w:t>
      </w:r>
      <w:r w:rsidRPr="00180982">
        <w:rPr>
          <w:rFonts w:ascii="Arial" w:hAnsi="Arial" w:cs="Arial"/>
          <w:i/>
          <w:color w:val="7F8C8D"/>
          <w:sz w:val="18"/>
        </w:rPr>
        <w:t>██</w:t>
      </w:r>
      <w:r w:rsidRPr="00180982">
        <w:rPr>
          <w:rFonts w:asciiTheme="majorHAnsi" w:hAnsiTheme="majorHAnsi" w:cstheme="majorHAnsi"/>
          <w:i/>
          <w:color w:val="7F8C8D"/>
          <w:sz w:val="18"/>
        </w:rPr>
        <w:t>% for every 5% drop in Year 1 occupancy; a 10% CAPEX increase extends payback by ~0.5</w:t>
      </w:r>
      <w:r w:rsidRPr="00180982">
        <w:rPr>
          <w:rFonts w:ascii="Calibri" w:hAnsi="Calibri" w:cs="Calibri"/>
          <w:i/>
          <w:color w:val="7F8C8D"/>
          <w:sz w:val="18"/>
        </w:rPr>
        <w:t>–</w:t>
      </w:r>
      <w:r w:rsidRPr="00180982">
        <w:rPr>
          <w:rFonts w:asciiTheme="majorHAnsi" w:hAnsiTheme="majorHAnsi" w:cstheme="majorHAnsi"/>
          <w:i/>
          <w:color w:val="7F8C8D"/>
          <w:sz w:val="18"/>
        </w:rPr>
        <w:t xml:space="preserve">0.8 years. Actual figures are redacted </w:t>
      </w:r>
      <w:r w:rsidRPr="00180982">
        <w:rPr>
          <w:rFonts w:ascii="Calibri" w:hAnsi="Calibri" w:cs="Calibri"/>
          <w:i/>
          <w:color w:val="7F8C8D"/>
          <w:sz w:val="18"/>
        </w:rPr>
        <w:t>—</w:t>
      </w:r>
      <w:r w:rsidRPr="00180982">
        <w:rPr>
          <w:rFonts w:asciiTheme="majorHAnsi" w:hAnsiTheme="majorHAnsi" w:cstheme="majorHAnsi"/>
          <w:i/>
          <w:color w:val="7F8C8D"/>
          <w:sz w:val="18"/>
        </w:rPr>
        <w:t xml:space="preserve"> to be completed in the full model.</w:t>
      </w:r>
    </w:p>
    <w:p w14:paraId="54A70253" w14:textId="77777777" w:rsidR="00EE633F" w:rsidRPr="00180982" w:rsidRDefault="00000000">
      <w:pPr>
        <w:rPr>
          <w:rFonts w:asciiTheme="majorHAnsi" w:hAnsiTheme="majorHAnsi" w:cstheme="majorHAnsi"/>
        </w:rPr>
      </w:pPr>
      <w:r w:rsidRPr="00180982">
        <w:rPr>
          <w:rFonts w:asciiTheme="majorHAnsi" w:hAnsiTheme="majorHAnsi" w:cstheme="majorHAnsi"/>
        </w:rPr>
        <w:br w:type="page"/>
      </w:r>
    </w:p>
    <w:p w14:paraId="26111B98" w14:textId="77777777" w:rsidR="00EE633F" w:rsidRPr="00180982" w:rsidRDefault="00000000">
      <w:pPr>
        <w:spacing w:before="200" w:after="80"/>
        <w:rPr>
          <w:rFonts w:asciiTheme="majorHAnsi" w:hAnsiTheme="majorHAnsi" w:cstheme="majorHAnsi"/>
        </w:rPr>
      </w:pPr>
      <w:r w:rsidRPr="00180982">
        <w:rPr>
          <w:rFonts w:asciiTheme="majorHAnsi" w:hAnsiTheme="majorHAnsi" w:cstheme="majorHAnsi"/>
          <w:b/>
          <w:color w:val="1B4F72"/>
          <w:sz w:val="28"/>
        </w:rPr>
        <w:lastRenderedPageBreak/>
        <w:t>8.  Financing &amp; Capital Structure</w:t>
      </w:r>
    </w:p>
    <w:p w14:paraId="795C7034" w14:textId="77777777" w:rsidR="00EE633F" w:rsidRPr="00180982" w:rsidRDefault="00000000">
      <w:pPr>
        <w:rPr>
          <w:rFonts w:asciiTheme="majorHAnsi" w:hAnsiTheme="majorHAnsi" w:cstheme="majorHAnsi"/>
        </w:rPr>
      </w:pPr>
      <w:r w:rsidRPr="00180982">
        <w:rPr>
          <w:rFonts w:asciiTheme="majorHAnsi" w:hAnsiTheme="majorHAnsi" w:cstheme="majorHAnsi"/>
          <w:color w:val="BDC3C7"/>
          <w:sz w:val="14"/>
        </w:rPr>
        <w:t>──────────────────────────────────────────────────────────────────────────────────────────────────────────────</w:t>
      </w:r>
    </w:p>
    <w:p w14:paraId="6A4980DC" w14:textId="77777777" w:rsidR="00EE633F" w:rsidRPr="00180982" w:rsidRDefault="00000000">
      <w:pPr>
        <w:spacing w:after="100"/>
        <w:rPr>
          <w:rFonts w:asciiTheme="majorHAnsi" w:hAnsiTheme="majorHAnsi" w:cstheme="majorHAnsi"/>
        </w:rPr>
      </w:pPr>
      <w:r w:rsidRPr="00180982">
        <w:rPr>
          <w:rFonts w:asciiTheme="majorHAnsi" w:hAnsiTheme="majorHAnsi" w:cstheme="majorHAnsi"/>
          <w:color w:val="17202A"/>
          <w:sz w:val="20"/>
        </w:rPr>
        <w:t>The proposed financing mix balances equity returns and debt leverage while maintaining a comfortable debt service coverage ratio (DSCR). Final terms depend on lender appetite and investor profile.</w:t>
      </w:r>
    </w:p>
    <w:tbl>
      <w:tblPr>
        <w:tblStyle w:val="TableGrid"/>
        <w:tblW w:w="0" w:type="auto"/>
        <w:jc w:val="center"/>
        <w:tblLook w:val="04A0" w:firstRow="1" w:lastRow="0" w:firstColumn="1" w:lastColumn="0" w:noHBand="0" w:noVBand="1"/>
      </w:tblPr>
      <w:tblGrid>
        <w:gridCol w:w="2592"/>
        <w:gridCol w:w="2304"/>
        <w:gridCol w:w="1152"/>
        <w:gridCol w:w="2880"/>
      </w:tblGrid>
      <w:tr w:rsidR="00EE633F" w:rsidRPr="00180982" w14:paraId="42DAAA05" w14:textId="77777777">
        <w:trPr>
          <w:jc w:val="center"/>
        </w:trPr>
        <w:tc>
          <w:tcPr>
            <w:tcW w:w="2592" w:type="dxa"/>
            <w:shd w:val="clear" w:color="auto" w:fill="1B4F72"/>
          </w:tcPr>
          <w:p w14:paraId="20E16F6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Tranche</w:t>
            </w:r>
          </w:p>
        </w:tc>
        <w:tc>
          <w:tcPr>
            <w:tcW w:w="2304" w:type="dxa"/>
            <w:shd w:val="clear" w:color="auto" w:fill="1B4F72"/>
          </w:tcPr>
          <w:p w14:paraId="037CC44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Amount (Indicative)</w:t>
            </w:r>
          </w:p>
        </w:tc>
        <w:tc>
          <w:tcPr>
            <w:tcW w:w="1152" w:type="dxa"/>
            <w:shd w:val="clear" w:color="auto" w:fill="1B4F72"/>
          </w:tcPr>
          <w:p w14:paraId="648382A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Share</w:t>
            </w:r>
          </w:p>
        </w:tc>
        <w:tc>
          <w:tcPr>
            <w:tcW w:w="2880" w:type="dxa"/>
            <w:shd w:val="clear" w:color="auto" w:fill="1B4F72"/>
          </w:tcPr>
          <w:p w14:paraId="24393CB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Notes</w:t>
            </w:r>
          </w:p>
        </w:tc>
      </w:tr>
      <w:tr w:rsidR="00EE633F" w:rsidRPr="00180982" w14:paraId="3D505527" w14:textId="77777777">
        <w:trPr>
          <w:jc w:val="center"/>
        </w:trPr>
        <w:tc>
          <w:tcPr>
            <w:tcW w:w="2592" w:type="dxa"/>
            <w:shd w:val="clear" w:color="auto" w:fill="EAF2FF"/>
          </w:tcPr>
          <w:p w14:paraId="59B9597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Equity</w:t>
            </w:r>
          </w:p>
        </w:tc>
        <w:tc>
          <w:tcPr>
            <w:tcW w:w="2304" w:type="dxa"/>
            <w:shd w:val="clear" w:color="auto" w:fill="EAF2FF"/>
          </w:tcPr>
          <w:p w14:paraId="36AAB17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1,28</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1152" w:type="dxa"/>
            <w:shd w:val="clear" w:color="auto" w:fill="EAF2FF"/>
          </w:tcPr>
          <w:p w14:paraId="4D668CF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40%</w:t>
            </w:r>
          </w:p>
        </w:tc>
        <w:tc>
          <w:tcPr>
            <w:tcW w:w="2880" w:type="dxa"/>
            <w:shd w:val="clear" w:color="auto" w:fill="EAF2FF"/>
          </w:tcPr>
          <w:p w14:paraId="723A300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Founding investor / development partner</w:t>
            </w:r>
          </w:p>
        </w:tc>
      </w:tr>
      <w:tr w:rsidR="00EE633F" w:rsidRPr="00180982" w14:paraId="1F9F5AA9" w14:textId="77777777">
        <w:trPr>
          <w:jc w:val="center"/>
        </w:trPr>
        <w:tc>
          <w:tcPr>
            <w:tcW w:w="2592" w:type="dxa"/>
            <w:shd w:val="clear" w:color="auto" w:fill="FFFFFF"/>
          </w:tcPr>
          <w:p w14:paraId="4DDF9B6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Senior Debt (Term Loan)</w:t>
            </w:r>
          </w:p>
        </w:tc>
        <w:tc>
          <w:tcPr>
            <w:tcW w:w="2304" w:type="dxa"/>
            <w:shd w:val="clear" w:color="auto" w:fill="FFFFFF"/>
          </w:tcPr>
          <w:p w14:paraId="165976E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1,92</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1152" w:type="dxa"/>
            <w:shd w:val="clear" w:color="auto" w:fill="FFFFFF"/>
          </w:tcPr>
          <w:p w14:paraId="0133C73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60%</w:t>
            </w:r>
          </w:p>
        </w:tc>
        <w:tc>
          <w:tcPr>
            <w:tcW w:w="2880" w:type="dxa"/>
            <w:shd w:val="clear" w:color="auto" w:fill="FFFFFF"/>
          </w:tcPr>
          <w:p w14:paraId="3A6DC15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7-year tenor; indicative rate 8.5% p.a.</w:t>
            </w:r>
          </w:p>
        </w:tc>
      </w:tr>
      <w:tr w:rsidR="00EE633F" w:rsidRPr="00180982" w14:paraId="1E72795B" w14:textId="77777777">
        <w:trPr>
          <w:jc w:val="center"/>
        </w:trPr>
        <w:tc>
          <w:tcPr>
            <w:tcW w:w="2592" w:type="dxa"/>
            <w:shd w:val="clear" w:color="auto" w:fill="EAF2FF"/>
          </w:tcPr>
          <w:p w14:paraId="3F65D6D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Total</w:t>
            </w:r>
          </w:p>
        </w:tc>
        <w:tc>
          <w:tcPr>
            <w:tcW w:w="2304" w:type="dxa"/>
            <w:shd w:val="clear" w:color="auto" w:fill="EAF2FF"/>
          </w:tcPr>
          <w:p w14:paraId="40EFE0F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3,2</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1152" w:type="dxa"/>
            <w:shd w:val="clear" w:color="auto" w:fill="EAF2FF"/>
          </w:tcPr>
          <w:p w14:paraId="4D95CB3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100%</w:t>
            </w:r>
          </w:p>
        </w:tc>
        <w:tc>
          <w:tcPr>
            <w:tcW w:w="2880" w:type="dxa"/>
            <w:shd w:val="clear" w:color="auto" w:fill="EAF2FF"/>
          </w:tcPr>
          <w:p w14:paraId="06A2611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Matches indicative CAPEX</w:t>
            </w:r>
          </w:p>
        </w:tc>
      </w:tr>
    </w:tbl>
    <w:p w14:paraId="28A66A08" w14:textId="77777777" w:rsidR="00EE633F" w:rsidRPr="00180982" w:rsidRDefault="00EE633F">
      <w:pPr>
        <w:spacing w:after="80"/>
        <w:rPr>
          <w:rFonts w:asciiTheme="majorHAnsi" w:hAnsiTheme="majorHAnsi" w:cstheme="majorHAnsi"/>
        </w:rPr>
      </w:pPr>
    </w:p>
    <w:p w14:paraId="133E83CF" w14:textId="77777777" w:rsidR="00EE633F" w:rsidRPr="00180982" w:rsidRDefault="00000000">
      <w:pPr>
        <w:jc w:val="center"/>
        <w:rPr>
          <w:rFonts w:asciiTheme="majorHAnsi" w:hAnsiTheme="majorHAnsi" w:cstheme="majorHAnsi"/>
        </w:rPr>
      </w:pPr>
      <w:r w:rsidRPr="00180982">
        <w:rPr>
          <w:rFonts w:asciiTheme="majorHAnsi" w:hAnsiTheme="majorHAnsi" w:cstheme="majorHAnsi"/>
          <w:noProof/>
        </w:rPr>
        <w:drawing>
          <wp:inline distT="0" distB="0" distL="0" distR="0" wp14:anchorId="619D01AC" wp14:editId="5F560FE7">
            <wp:extent cx="4114800" cy="29865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hotel_capstruct.png"/>
                    <pic:cNvPicPr/>
                  </pic:nvPicPr>
                  <pic:blipFill>
                    <a:blip r:embed="rId12"/>
                    <a:stretch>
                      <a:fillRect/>
                    </a:stretch>
                  </pic:blipFill>
                  <pic:spPr>
                    <a:xfrm>
                      <a:off x="0" y="0"/>
                      <a:ext cx="4114800" cy="2986548"/>
                    </a:xfrm>
                    <a:prstGeom prst="rect">
                      <a:avLst/>
                    </a:prstGeom>
                  </pic:spPr>
                </pic:pic>
              </a:graphicData>
            </a:graphic>
          </wp:inline>
        </w:drawing>
      </w:r>
    </w:p>
    <w:p w14:paraId="605359F0"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8.1  Indicative Debt Terms</w:t>
      </w:r>
    </w:p>
    <w:tbl>
      <w:tblPr>
        <w:tblStyle w:val="TableGrid"/>
        <w:tblW w:w="0" w:type="auto"/>
        <w:jc w:val="center"/>
        <w:tblLook w:val="04A0" w:firstRow="1" w:lastRow="0" w:firstColumn="1" w:lastColumn="0" w:noHBand="0" w:noVBand="1"/>
      </w:tblPr>
      <w:tblGrid>
        <w:gridCol w:w="2304"/>
        <w:gridCol w:w="2880"/>
        <w:gridCol w:w="3456"/>
      </w:tblGrid>
      <w:tr w:rsidR="00EE633F" w:rsidRPr="00180982" w14:paraId="599FF73B" w14:textId="77777777">
        <w:trPr>
          <w:jc w:val="center"/>
        </w:trPr>
        <w:tc>
          <w:tcPr>
            <w:tcW w:w="2304" w:type="dxa"/>
            <w:shd w:val="clear" w:color="auto" w:fill="1B4F72"/>
          </w:tcPr>
          <w:p w14:paraId="78AE3FC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Term</w:t>
            </w:r>
          </w:p>
        </w:tc>
        <w:tc>
          <w:tcPr>
            <w:tcW w:w="2880" w:type="dxa"/>
            <w:shd w:val="clear" w:color="auto" w:fill="1B4F72"/>
          </w:tcPr>
          <w:p w14:paraId="4FD27FB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Indicative Value</w:t>
            </w:r>
          </w:p>
        </w:tc>
        <w:tc>
          <w:tcPr>
            <w:tcW w:w="3456" w:type="dxa"/>
            <w:shd w:val="clear" w:color="auto" w:fill="1B4F72"/>
          </w:tcPr>
          <w:p w14:paraId="597ADDE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Commentary</w:t>
            </w:r>
          </w:p>
        </w:tc>
      </w:tr>
      <w:tr w:rsidR="00EE633F" w:rsidRPr="00180982" w14:paraId="0E525858" w14:textId="77777777">
        <w:trPr>
          <w:jc w:val="center"/>
        </w:trPr>
        <w:tc>
          <w:tcPr>
            <w:tcW w:w="2304" w:type="dxa"/>
            <w:shd w:val="clear" w:color="auto" w:fill="EAF2FF"/>
          </w:tcPr>
          <w:p w14:paraId="68DC662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Loan Amount</w:t>
            </w:r>
          </w:p>
        </w:tc>
        <w:tc>
          <w:tcPr>
            <w:tcW w:w="2880" w:type="dxa"/>
            <w:shd w:val="clear" w:color="auto" w:fill="EAF2FF"/>
          </w:tcPr>
          <w:p w14:paraId="6A46D5B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 1,92</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p>
        </w:tc>
        <w:tc>
          <w:tcPr>
            <w:tcW w:w="3456" w:type="dxa"/>
            <w:shd w:val="clear" w:color="auto" w:fill="EAF2FF"/>
          </w:tcPr>
          <w:p w14:paraId="3A8152C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60% of total CAPEX; actual cells redacted</w:t>
            </w:r>
          </w:p>
        </w:tc>
      </w:tr>
      <w:tr w:rsidR="00EE633F" w:rsidRPr="00180982" w14:paraId="47694587" w14:textId="77777777">
        <w:trPr>
          <w:jc w:val="center"/>
        </w:trPr>
        <w:tc>
          <w:tcPr>
            <w:tcW w:w="2304" w:type="dxa"/>
            <w:shd w:val="clear" w:color="auto" w:fill="FFFFFF"/>
          </w:tcPr>
          <w:p w14:paraId="0813E19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Tenor</w:t>
            </w:r>
          </w:p>
        </w:tc>
        <w:tc>
          <w:tcPr>
            <w:tcW w:w="2880" w:type="dxa"/>
            <w:shd w:val="clear" w:color="auto" w:fill="FFFFFF"/>
          </w:tcPr>
          <w:p w14:paraId="7DC22B7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7 years</w:t>
            </w:r>
          </w:p>
        </w:tc>
        <w:tc>
          <w:tcPr>
            <w:tcW w:w="3456" w:type="dxa"/>
            <w:shd w:val="clear" w:color="auto" w:fill="FFFFFF"/>
          </w:tcPr>
          <w:p w14:paraId="1D0AEE6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Typical for East African hospitality project finance</w:t>
            </w:r>
          </w:p>
        </w:tc>
      </w:tr>
      <w:tr w:rsidR="00EE633F" w:rsidRPr="00180982" w14:paraId="30EF96D2" w14:textId="77777777">
        <w:trPr>
          <w:jc w:val="center"/>
        </w:trPr>
        <w:tc>
          <w:tcPr>
            <w:tcW w:w="2304" w:type="dxa"/>
            <w:shd w:val="clear" w:color="auto" w:fill="EAF2FF"/>
          </w:tcPr>
          <w:p w14:paraId="2C9D30E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Interest Rate</w:t>
            </w:r>
          </w:p>
        </w:tc>
        <w:tc>
          <w:tcPr>
            <w:tcW w:w="2880" w:type="dxa"/>
            <w:shd w:val="clear" w:color="auto" w:fill="EAF2FF"/>
          </w:tcPr>
          <w:p w14:paraId="2569ADC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8.5% p.a. (variable reference + spread)</w:t>
            </w:r>
          </w:p>
        </w:tc>
        <w:tc>
          <w:tcPr>
            <w:tcW w:w="3456" w:type="dxa"/>
            <w:shd w:val="clear" w:color="auto" w:fill="EAF2FF"/>
          </w:tcPr>
          <w:p w14:paraId="623BF33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To be confirmed with lender</w:t>
            </w:r>
          </w:p>
        </w:tc>
      </w:tr>
      <w:tr w:rsidR="00EE633F" w:rsidRPr="00180982" w14:paraId="3E883283" w14:textId="77777777">
        <w:trPr>
          <w:jc w:val="center"/>
        </w:trPr>
        <w:tc>
          <w:tcPr>
            <w:tcW w:w="2304" w:type="dxa"/>
            <w:shd w:val="clear" w:color="auto" w:fill="FFFFFF"/>
          </w:tcPr>
          <w:p w14:paraId="7279D57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Repayment</w:t>
            </w:r>
          </w:p>
        </w:tc>
        <w:tc>
          <w:tcPr>
            <w:tcW w:w="2880" w:type="dxa"/>
            <w:shd w:val="clear" w:color="auto" w:fill="FFFFFF"/>
          </w:tcPr>
          <w:p w14:paraId="46FE6A7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Equal monthly instalments after 12-month grace period</w:t>
            </w:r>
          </w:p>
        </w:tc>
        <w:tc>
          <w:tcPr>
            <w:tcW w:w="3456" w:type="dxa"/>
            <w:shd w:val="clear" w:color="auto" w:fill="FFFFFF"/>
          </w:tcPr>
          <w:p w14:paraId="2947B21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t>
            </w:r>
          </w:p>
        </w:tc>
      </w:tr>
      <w:tr w:rsidR="00EE633F" w:rsidRPr="00180982" w14:paraId="4867A78F" w14:textId="77777777">
        <w:trPr>
          <w:jc w:val="center"/>
        </w:trPr>
        <w:tc>
          <w:tcPr>
            <w:tcW w:w="2304" w:type="dxa"/>
            <w:shd w:val="clear" w:color="auto" w:fill="EAF2FF"/>
          </w:tcPr>
          <w:p w14:paraId="0A06A5B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DSCR Covenant</w:t>
            </w:r>
          </w:p>
        </w:tc>
        <w:tc>
          <w:tcPr>
            <w:tcW w:w="2880" w:type="dxa"/>
            <w:shd w:val="clear" w:color="auto" w:fill="EAF2FF"/>
          </w:tcPr>
          <w:p w14:paraId="3C10BE1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&gt;1.25× minimum</w:t>
            </w:r>
          </w:p>
        </w:tc>
        <w:tc>
          <w:tcPr>
            <w:tcW w:w="3456" w:type="dxa"/>
            <w:shd w:val="clear" w:color="auto" w:fill="EAF2FF"/>
          </w:tcPr>
          <w:p w14:paraId="695A4DC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Standard covenant; comfortable in base case</w:t>
            </w:r>
          </w:p>
        </w:tc>
      </w:tr>
      <w:tr w:rsidR="00EE633F" w:rsidRPr="00180982" w14:paraId="3AC7651F" w14:textId="77777777">
        <w:trPr>
          <w:jc w:val="center"/>
        </w:trPr>
        <w:tc>
          <w:tcPr>
            <w:tcW w:w="2304" w:type="dxa"/>
            <w:shd w:val="clear" w:color="auto" w:fill="FFFFFF"/>
          </w:tcPr>
          <w:p w14:paraId="4B93FCF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Security</w:t>
            </w:r>
          </w:p>
        </w:tc>
        <w:tc>
          <w:tcPr>
            <w:tcW w:w="2880" w:type="dxa"/>
            <w:shd w:val="clear" w:color="auto" w:fill="FFFFFF"/>
          </w:tcPr>
          <w:p w14:paraId="075CEF7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Charge over property/lease and hotel assets</w:t>
            </w:r>
          </w:p>
        </w:tc>
        <w:tc>
          <w:tcPr>
            <w:tcW w:w="3456" w:type="dxa"/>
            <w:shd w:val="clear" w:color="auto" w:fill="FFFFFF"/>
          </w:tcPr>
          <w:p w14:paraId="135B909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t>
            </w:r>
          </w:p>
        </w:tc>
      </w:tr>
    </w:tbl>
    <w:p w14:paraId="0E7F35CC" w14:textId="77777777" w:rsidR="00EE633F" w:rsidRPr="00180982" w:rsidRDefault="00EE633F">
      <w:pPr>
        <w:spacing w:after="80"/>
        <w:rPr>
          <w:rFonts w:asciiTheme="majorHAnsi" w:hAnsiTheme="majorHAnsi" w:cstheme="majorHAnsi"/>
        </w:rPr>
      </w:pPr>
    </w:p>
    <w:p w14:paraId="413F9D4A" w14:textId="77777777" w:rsidR="00EE633F" w:rsidRPr="00180982" w:rsidRDefault="00000000">
      <w:pPr>
        <w:rPr>
          <w:rFonts w:asciiTheme="majorHAnsi" w:hAnsiTheme="majorHAnsi" w:cstheme="majorHAnsi"/>
        </w:rPr>
      </w:pPr>
      <w:r w:rsidRPr="00180982">
        <w:rPr>
          <w:rFonts w:asciiTheme="majorHAnsi" w:hAnsiTheme="majorHAnsi" w:cstheme="majorHAnsi"/>
        </w:rPr>
        <w:br w:type="page"/>
      </w:r>
    </w:p>
    <w:p w14:paraId="4081F2FB" w14:textId="77777777" w:rsidR="00EE633F" w:rsidRPr="00180982" w:rsidRDefault="00000000">
      <w:pPr>
        <w:spacing w:before="200" w:after="80"/>
        <w:rPr>
          <w:rFonts w:asciiTheme="majorHAnsi" w:hAnsiTheme="majorHAnsi" w:cstheme="majorHAnsi"/>
        </w:rPr>
      </w:pPr>
      <w:r w:rsidRPr="00180982">
        <w:rPr>
          <w:rFonts w:asciiTheme="majorHAnsi" w:hAnsiTheme="majorHAnsi" w:cstheme="majorHAnsi"/>
          <w:b/>
          <w:color w:val="1B4F72"/>
          <w:sz w:val="28"/>
        </w:rPr>
        <w:lastRenderedPageBreak/>
        <w:t>9.  Risk Assessment &amp; Mitigation</w:t>
      </w:r>
    </w:p>
    <w:p w14:paraId="54534B84" w14:textId="77777777" w:rsidR="00EE633F" w:rsidRPr="00180982" w:rsidRDefault="00000000">
      <w:pPr>
        <w:rPr>
          <w:rFonts w:asciiTheme="majorHAnsi" w:hAnsiTheme="majorHAnsi" w:cstheme="majorHAnsi"/>
        </w:rPr>
      </w:pPr>
      <w:r w:rsidRPr="00180982">
        <w:rPr>
          <w:rFonts w:asciiTheme="majorHAnsi" w:hAnsiTheme="majorHAnsi" w:cstheme="majorHAnsi"/>
          <w:color w:val="BDC3C7"/>
          <w:sz w:val="14"/>
        </w:rPr>
        <w:t>──────────────────────────────────────────────────────────────────────────────────────────────────────────────</w:t>
      </w:r>
    </w:p>
    <w:p w14:paraId="1A84F9F8" w14:textId="77777777" w:rsidR="00EE633F" w:rsidRPr="00180982" w:rsidRDefault="00000000">
      <w:pPr>
        <w:spacing w:after="100"/>
        <w:rPr>
          <w:rFonts w:asciiTheme="majorHAnsi" w:hAnsiTheme="majorHAnsi" w:cstheme="majorHAnsi"/>
        </w:rPr>
      </w:pPr>
      <w:r w:rsidRPr="00180982">
        <w:rPr>
          <w:rFonts w:asciiTheme="majorHAnsi" w:hAnsiTheme="majorHAnsi" w:cstheme="majorHAnsi"/>
          <w:color w:val="17202A"/>
          <w:sz w:val="20"/>
        </w:rPr>
        <w:t>Risks are rated on a 5×5 matrix (Likelihood × Impact). Score ≥12 = High, 6–11 = Medium, &lt;6 = Low.</w:t>
      </w:r>
    </w:p>
    <w:tbl>
      <w:tblPr>
        <w:tblStyle w:val="TableGrid"/>
        <w:tblW w:w="0" w:type="auto"/>
        <w:jc w:val="center"/>
        <w:tblLook w:val="04A0" w:firstRow="1" w:lastRow="0" w:firstColumn="1" w:lastColumn="0" w:noHBand="0" w:noVBand="1"/>
      </w:tblPr>
      <w:tblGrid>
        <w:gridCol w:w="2086"/>
        <w:gridCol w:w="1276"/>
        <w:gridCol w:w="1136"/>
        <w:gridCol w:w="1112"/>
        <w:gridCol w:w="1232"/>
        <w:gridCol w:w="2734"/>
      </w:tblGrid>
      <w:tr w:rsidR="00EE633F" w:rsidRPr="00180982" w14:paraId="7BEBF075" w14:textId="77777777">
        <w:trPr>
          <w:jc w:val="center"/>
        </w:trPr>
        <w:tc>
          <w:tcPr>
            <w:tcW w:w="2160" w:type="dxa"/>
            <w:shd w:val="clear" w:color="auto" w:fill="1B4F72"/>
          </w:tcPr>
          <w:p w14:paraId="7A7671F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Risk</w:t>
            </w:r>
          </w:p>
        </w:tc>
        <w:tc>
          <w:tcPr>
            <w:tcW w:w="1296" w:type="dxa"/>
            <w:shd w:val="clear" w:color="auto" w:fill="1B4F72"/>
          </w:tcPr>
          <w:p w14:paraId="2CFEE68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Category</w:t>
            </w:r>
          </w:p>
        </w:tc>
        <w:tc>
          <w:tcPr>
            <w:tcW w:w="1152" w:type="dxa"/>
            <w:shd w:val="clear" w:color="auto" w:fill="1B4F72"/>
          </w:tcPr>
          <w:p w14:paraId="49DE7BC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Likelihood</w:t>
            </w:r>
            <w:r w:rsidRPr="00180982">
              <w:rPr>
                <w:rFonts w:asciiTheme="majorHAnsi" w:hAnsiTheme="majorHAnsi" w:cstheme="majorHAnsi"/>
                <w:b/>
                <w:color w:val="FFFFFF"/>
                <w:sz w:val="18"/>
              </w:rPr>
              <w:br/>
              <w:t>(1–5)</w:t>
            </w:r>
          </w:p>
        </w:tc>
        <w:tc>
          <w:tcPr>
            <w:tcW w:w="1152" w:type="dxa"/>
            <w:shd w:val="clear" w:color="auto" w:fill="1B4F72"/>
          </w:tcPr>
          <w:p w14:paraId="773F0D4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Impact</w:t>
            </w:r>
            <w:r w:rsidRPr="00180982">
              <w:rPr>
                <w:rFonts w:asciiTheme="majorHAnsi" w:hAnsiTheme="majorHAnsi" w:cstheme="majorHAnsi"/>
                <w:b/>
                <w:color w:val="FFFFFF"/>
                <w:sz w:val="18"/>
              </w:rPr>
              <w:br/>
              <w:t>(1–5)</w:t>
            </w:r>
          </w:p>
        </w:tc>
        <w:tc>
          <w:tcPr>
            <w:tcW w:w="1296" w:type="dxa"/>
            <w:shd w:val="clear" w:color="auto" w:fill="1B4F72"/>
          </w:tcPr>
          <w:p w14:paraId="48ED5F6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Score</w:t>
            </w:r>
          </w:p>
        </w:tc>
        <w:tc>
          <w:tcPr>
            <w:tcW w:w="2880" w:type="dxa"/>
            <w:shd w:val="clear" w:color="auto" w:fill="1B4F72"/>
          </w:tcPr>
          <w:p w14:paraId="5571703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Mitigation Action</w:t>
            </w:r>
          </w:p>
        </w:tc>
      </w:tr>
      <w:tr w:rsidR="00EE633F" w:rsidRPr="00180982" w14:paraId="1AADDD1C" w14:textId="77777777">
        <w:trPr>
          <w:jc w:val="center"/>
        </w:trPr>
        <w:tc>
          <w:tcPr>
            <w:tcW w:w="2160" w:type="dxa"/>
            <w:shd w:val="clear" w:color="auto" w:fill="EAF2FF"/>
          </w:tcPr>
          <w:p w14:paraId="2574B4F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Regulatory / Permit Delays</w:t>
            </w:r>
          </w:p>
        </w:tc>
        <w:tc>
          <w:tcPr>
            <w:tcW w:w="1296" w:type="dxa"/>
            <w:shd w:val="clear" w:color="auto" w:fill="EAF2FF"/>
          </w:tcPr>
          <w:p w14:paraId="094F0FF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Legal</w:t>
            </w:r>
          </w:p>
        </w:tc>
        <w:tc>
          <w:tcPr>
            <w:tcW w:w="1152" w:type="dxa"/>
            <w:shd w:val="clear" w:color="auto" w:fill="EAF2FF"/>
          </w:tcPr>
          <w:p w14:paraId="3924655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w:t>
            </w:r>
          </w:p>
        </w:tc>
        <w:tc>
          <w:tcPr>
            <w:tcW w:w="1152" w:type="dxa"/>
            <w:shd w:val="clear" w:color="auto" w:fill="EAF2FF"/>
          </w:tcPr>
          <w:p w14:paraId="444FFEE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w:t>
            </w:r>
          </w:p>
        </w:tc>
        <w:tc>
          <w:tcPr>
            <w:tcW w:w="1296" w:type="dxa"/>
            <w:shd w:val="clear" w:color="auto" w:fill="EAF2FF"/>
          </w:tcPr>
          <w:p w14:paraId="4BF22D3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12 — High</w:t>
            </w:r>
          </w:p>
        </w:tc>
        <w:tc>
          <w:tcPr>
            <w:tcW w:w="2880" w:type="dxa"/>
            <w:shd w:val="clear" w:color="auto" w:fill="EAF2FF"/>
          </w:tcPr>
          <w:p w14:paraId="24BDA69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Engage local legal advisor early; 4-week schedule buffer</w:t>
            </w:r>
          </w:p>
        </w:tc>
      </w:tr>
      <w:tr w:rsidR="00EE633F" w:rsidRPr="00180982" w14:paraId="5BEE6B56" w14:textId="77777777">
        <w:trPr>
          <w:jc w:val="center"/>
        </w:trPr>
        <w:tc>
          <w:tcPr>
            <w:tcW w:w="2160" w:type="dxa"/>
            <w:shd w:val="clear" w:color="auto" w:fill="FFFFFF"/>
          </w:tcPr>
          <w:p w14:paraId="1B08294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CAPEX Cost Inflation (imported equipment)</w:t>
            </w:r>
          </w:p>
        </w:tc>
        <w:tc>
          <w:tcPr>
            <w:tcW w:w="1296" w:type="dxa"/>
            <w:shd w:val="clear" w:color="auto" w:fill="FFFFFF"/>
          </w:tcPr>
          <w:p w14:paraId="2323714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Financial</w:t>
            </w:r>
          </w:p>
        </w:tc>
        <w:tc>
          <w:tcPr>
            <w:tcW w:w="1152" w:type="dxa"/>
            <w:shd w:val="clear" w:color="auto" w:fill="FFFFFF"/>
          </w:tcPr>
          <w:p w14:paraId="21BDF31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w:t>
            </w:r>
          </w:p>
        </w:tc>
        <w:tc>
          <w:tcPr>
            <w:tcW w:w="1152" w:type="dxa"/>
            <w:shd w:val="clear" w:color="auto" w:fill="FFFFFF"/>
          </w:tcPr>
          <w:p w14:paraId="0F23463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w:t>
            </w:r>
          </w:p>
        </w:tc>
        <w:tc>
          <w:tcPr>
            <w:tcW w:w="1296" w:type="dxa"/>
            <w:shd w:val="clear" w:color="auto" w:fill="FFFFFF"/>
          </w:tcPr>
          <w:p w14:paraId="574A9BA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12 — High</w:t>
            </w:r>
          </w:p>
        </w:tc>
        <w:tc>
          <w:tcPr>
            <w:tcW w:w="2880" w:type="dxa"/>
            <w:shd w:val="clear" w:color="auto" w:fill="FFFFFF"/>
          </w:tcPr>
          <w:p w14:paraId="64423B6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Fixed-price contracts; early ordering; 8% contingency reserve</w:t>
            </w:r>
          </w:p>
        </w:tc>
      </w:tr>
      <w:tr w:rsidR="00EE633F" w:rsidRPr="00180982" w14:paraId="37A50F1D" w14:textId="77777777">
        <w:trPr>
          <w:jc w:val="center"/>
        </w:trPr>
        <w:tc>
          <w:tcPr>
            <w:tcW w:w="2160" w:type="dxa"/>
            <w:shd w:val="clear" w:color="auto" w:fill="EAF2FF"/>
          </w:tcPr>
          <w:p w14:paraId="6498988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Lower-than-Forecast Occupancy/ADR</w:t>
            </w:r>
          </w:p>
        </w:tc>
        <w:tc>
          <w:tcPr>
            <w:tcW w:w="1296" w:type="dxa"/>
            <w:shd w:val="clear" w:color="auto" w:fill="EAF2FF"/>
          </w:tcPr>
          <w:p w14:paraId="4D21896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Market</w:t>
            </w:r>
          </w:p>
        </w:tc>
        <w:tc>
          <w:tcPr>
            <w:tcW w:w="1152" w:type="dxa"/>
            <w:shd w:val="clear" w:color="auto" w:fill="EAF2FF"/>
          </w:tcPr>
          <w:p w14:paraId="1AA0298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w:t>
            </w:r>
          </w:p>
        </w:tc>
        <w:tc>
          <w:tcPr>
            <w:tcW w:w="1152" w:type="dxa"/>
            <w:shd w:val="clear" w:color="auto" w:fill="EAF2FF"/>
          </w:tcPr>
          <w:p w14:paraId="0D64F67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w:t>
            </w:r>
          </w:p>
        </w:tc>
        <w:tc>
          <w:tcPr>
            <w:tcW w:w="1296" w:type="dxa"/>
            <w:shd w:val="clear" w:color="auto" w:fill="EAF2FF"/>
          </w:tcPr>
          <w:p w14:paraId="7550A47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9 — Med</w:t>
            </w:r>
          </w:p>
        </w:tc>
        <w:tc>
          <w:tcPr>
            <w:tcW w:w="2880" w:type="dxa"/>
            <w:shd w:val="clear" w:color="auto" w:fill="EAF2FF"/>
          </w:tcPr>
          <w:p w14:paraId="31C397D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Pre-signed corporate contracts; segment diversification; dynamic pricing</w:t>
            </w:r>
          </w:p>
        </w:tc>
      </w:tr>
      <w:tr w:rsidR="00EE633F" w:rsidRPr="00180982" w14:paraId="3E881002" w14:textId="77777777">
        <w:trPr>
          <w:jc w:val="center"/>
        </w:trPr>
        <w:tc>
          <w:tcPr>
            <w:tcW w:w="2160" w:type="dxa"/>
            <w:shd w:val="clear" w:color="auto" w:fill="FFFFFF"/>
          </w:tcPr>
          <w:p w14:paraId="5241969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Currency Volatility (KES/USD)</w:t>
            </w:r>
          </w:p>
        </w:tc>
        <w:tc>
          <w:tcPr>
            <w:tcW w:w="1296" w:type="dxa"/>
            <w:shd w:val="clear" w:color="auto" w:fill="FFFFFF"/>
          </w:tcPr>
          <w:p w14:paraId="393BDF0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Financial</w:t>
            </w:r>
          </w:p>
        </w:tc>
        <w:tc>
          <w:tcPr>
            <w:tcW w:w="1152" w:type="dxa"/>
            <w:shd w:val="clear" w:color="auto" w:fill="FFFFFF"/>
          </w:tcPr>
          <w:p w14:paraId="48E7C8C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w:t>
            </w:r>
          </w:p>
        </w:tc>
        <w:tc>
          <w:tcPr>
            <w:tcW w:w="1152" w:type="dxa"/>
            <w:shd w:val="clear" w:color="auto" w:fill="FFFFFF"/>
          </w:tcPr>
          <w:p w14:paraId="7F0EBE8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w:t>
            </w:r>
          </w:p>
        </w:tc>
        <w:tc>
          <w:tcPr>
            <w:tcW w:w="1296" w:type="dxa"/>
            <w:shd w:val="clear" w:color="auto" w:fill="FFFFFF"/>
          </w:tcPr>
          <w:p w14:paraId="73B0366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9 — Med</w:t>
            </w:r>
          </w:p>
        </w:tc>
        <w:tc>
          <w:tcPr>
            <w:tcW w:w="2880" w:type="dxa"/>
            <w:shd w:val="clear" w:color="auto" w:fill="FFFFFF"/>
          </w:tcPr>
          <w:p w14:paraId="4A23127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USD-denominated revenues where possible; hedge key exposures</w:t>
            </w:r>
          </w:p>
        </w:tc>
      </w:tr>
      <w:tr w:rsidR="00EE633F" w:rsidRPr="00180982" w14:paraId="422B4006" w14:textId="77777777">
        <w:trPr>
          <w:jc w:val="center"/>
        </w:trPr>
        <w:tc>
          <w:tcPr>
            <w:tcW w:w="2160" w:type="dxa"/>
            <w:shd w:val="clear" w:color="auto" w:fill="EAF2FF"/>
          </w:tcPr>
          <w:p w14:paraId="04DB001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Management &amp; Staff Availability</w:t>
            </w:r>
          </w:p>
        </w:tc>
        <w:tc>
          <w:tcPr>
            <w:tcW w:w="1296" w:type="dxa"/>
            <w:shd w:val="clear" w:color="auto" w:fill="EAF2FF"/>
          </w:tcPr>
          <w:p w14:paraId="609EF9E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HR</w:t>
            </w:r>
          </w:p>
        </w:tc>
        <w:tc>
          <w:tcPr>
            <w:tcW w:w="1152" w:type="dxa"/>
            <w:shd w:val="clear" w:color="auto" w:fill="EAF2FF"/>
          </w:tcPr>
          <w:p w14:paraId="4DE6B9D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w:t>
            </w:r>
          </w:p>
        </w:tc>
        <w:tc>
          <w:tcPr>
            <w:tcW w:w="1152" w:type="dxa"/>
            <w:shd w:val="clear" w:color="auto" w:fill="EAF2FF"/>
          </w:tcPr>
          <w:p w14:paraId="27741E2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w:t>
            </w:r>
          </w:p>
        </w:tc>
        <w:tc>
          <w:tcPr>
            <w:tcW w:w="1296" w:type="dxa"/>
            <w:shd w:val="clear" w:color="auto" w:fill="EAF2FF"/>
          </w:tcPr>
          <w:p w14:paraId="2CB6C9F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8 — Med</w:t>
            </w:r>
          </w:p>
        </w:tc>
        <w:tc>
          <w:tcPr>
            <w:tcW w:w="2880" w:type="dxa"/>
            <w:shd w:val="clear" w:color="auto" w:fill="EAF2FF"/>
          </w:tcPr>
          <w:p w14:paraId="7B6DE65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Early GM recruitment; partner with local hospitality training institutes</w:t>
            </w:r>
          </w:p>
        </w:tc>
      </w:tr>
      <w:tr w:rsidR="00EE633F" w:rsidRPr="00180982" w14:paraId="3B3EF6C1" w14:textId="77777777">
        <w:trPr>
          <w:jc w:val="center"/>
        </w:trPr>
        <w:tc>
          <w:tcPr>
            <w:tcW w:w="2160" w:type="dxa"/>
            <w:shd w:val="clear" w:color="auto" w:fill="FFFFFF"/>
          </w:tcPr>
          <w:p w14:paraId="1043EF8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Utility Supply Disruptions</w:t>
            </w:r>
          </w:p>
        </w:tc>
        <w:tc>
          <w:tcPr>
            <w:tcW w:w="1296" w:type="dxa"/>
            <w:shd w:val="clear" w:color="auto" w:fill="FFFFFF"/>
          </w:tcPr>
          <w:p w14:paraId="19492DF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Operational</w:t>
            </w:r>
          </w:p>
        </w:tc>
        <w:tc>
          <w:tcPr>
            <w:tcW w:w="1152" w:type="dxa"/>
            <w:shd w:val="clear" w:color="auto" w:fill="FFFFFF"/>
          </w:tcPr>
          <w:p w14:paraId="277441D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w:t>
            </w:r>
          </w:p>
        </w:tc>
        <w:tc>
          <w:tcPr>
            <w:tcW w:w="1152" w:type="dxa"/>
            <w:shd w:val="clear" w:color="auto" w:fill="FFFFFF"/>
          </w:tcPr>
          <w:p w14:paraId="320F371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w:t>
            </w:r>
          </w:p>
        </w:tc>
        <w:tc>
          <w:tcPr>
            <w:tcW w:w="1296" w:type="dxa"/>
            <w:shd w:val="clear" w:color="auto" w:fill="FFFFFF"/>
          </w:tcPr>
          <w:p w14:paraId="0CC1409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9 — Med</w:t>
            </w:r>
          </w:p>
        </w:tc>
        <w:tc>
          <w:tcPr>
            <w:tcW w:w="2880" w:type="dxa"/>
            <w:shd w:val="clear" w:color="auto" w:fill="FFFFFF"/>
          </w:tcPr>
          <w:p w14:paraId="6CD8263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Backup generator; water storage; SLA with utility providers</w:t>
            </w:r>
          </w:p>
        </w:tc>
      </w:tr>
      <w:tr w:rsidR="00EE633F" w:rsidRPr="00180982" w14:paraId="68F31E47" w14:textId="77777777">
        <w:trPr>
          <w:jc w:val="center"/>
        </w:trPr>
        <w:tc>
          <w:tcPr>
            <w:tcW w:w="2160" w:type="dxa"/>
            <w:shd w:val="clear" w:color="auto" w:fill="EAF2FF"/>
          </w:tcPr>
          <w:p w14:paraId="798D1DC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Competitive Supply Increase</w:t>
            </w:r>
          </w:p>
        </w:tc>
        <w:tc>
          <w:tcPr>
            <w:tcW w:w="1296" w:type="dxa"/>
            <w:shd w:val="clear" w:color="auto" w:fill="EAF2FF"/>
          </w:tcPr>
          <w:p w14:paraId="35BD63E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Market</w:t>
            </w:r>
          </w:p>
        </w:tc>
        <w:tc>
          <w:tcPr>
            <w:tcW w:w="1152" w:type="dxa"/>
            <w:shd w:val="clear" w:color="auto" w:fill="EAF2FF"/>
          </w:tcPr>
          <w:p w14:paraId="3DAF006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w:t>
            </w:r>
          </w:p>
        </w:tc>
        <w:tc>
          <w:tcPr>
            <w:tcW w:w="1152" w:type="dxa"/>
            <w:shd w:val="clear" w:color="auto" w:fill="EAF2FF"/>
          </w:tcPr>
          <w:p w14:paraId="7DAFDEB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w:t>
            </w:r>
          </w:p>
        </w:tc>
        <w:tc>
          <w:tcPr>
            <w:tcW w:w="1296" w:type="dxa"/>
            <w:shd w:val="clear" w:color="auto" w:fill="EAF2FF"/>
          </w:tcPr>
          <w:p w14:paraId="5F00D8A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 — Med</w:t>
            </w:r>
          </w:p>
        </w:tc>
        <w:tc>
          <w:tcPr>
            <w:tcW w:w="2880" w:type="dxa"/>
            <w:shd w:val="clear" w:color="auto" w:fill="EAF2FF"/>
          </w:tcPr>
          <w:p w14:paraId="3E83FFA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Distinctive positioning; loyalty and corporate programmes</w:t>
            </w:r>
          </w:p>
        </w:tc>
      </w:tr>
      <w:tr w:rsidR="00EE633F" w:rsidRPr="00180982" w14:paraId="0EC581F6" w14:textId="77777777">
        <w:trPr>
          <w:jc w:val="center"/>
        </w:trPr>
        <w:tc>
          <w:tcPr>
            <w:tcW w:w="2160" w:type="dxa"/>
            <w:shd w:val="clear" w:color="auto" w:fill="FFFFFF"/>
          </w:tcPr>
          <w:p w14:paraId="51DD729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Construction Delay / Contractor Risk</w:t>
            </w:r>
          </w:p>
        </w:tc>
        <w:tc>
          <w:tcPr>
            <w:tcW w:w="1296" w:type="dxa"/>
            <w:shd w:val="clear" w:color="auto" w:fill="FFFFFF"/>
          </w:tcPr>
          <w:p w14:paraId="3782F5A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Operational</w:t>
            </w:r>
          </w:p>
        </w:tc>
        <w:tc>
          <w:tcPr>
            <w:tcW w:w="1152" w:type="dxa"/>
            <w:shd w:val="clear" w:color="auto" w:fill="FFFFFF"/>
          </w:tcPr>
          <w:p w14:paraId="36171B3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w:t>
            </w:r>
          </w:p>
        </w:tc>
        <w:tc>
          <w:tcPr>
            <w:tcW w:w="1152" w:type="dxa"/>
            <w:shd w:val="clear" w:color="auto" w:fill="FFFFFF"/>
          </w:tcPr>
          <w:p w14:paraId="2F7B665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w:t>
            </w:r>
          </w:p>
        </w:tc>
        <w:tc>
          <w:tcPr>
            <w:tcW w:w="1296" w:type="dxa"/>
            <w:shd w:val="clear" w:color="auto" w:fill="FFFFFF"/>
          </w:tcPr>
          <w:p w14:paraId="2C1115C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9 — Med</w:t>
            </w:r>
          </w:p>
        </w:tc>
        <w:tc>
          <w:tcPr>
            <w:tcW w:w="2880" w:type="dxa"/>
            <w:shd w:val="clear" w:color="auto" w:fill="FFFFFF"/>
          </w:tcPr>
          <w:p w14:paraId="267C6F4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Fixed-price contract; liquidated damages; experienced local contractor</w:t>
            </w:r>
          </w:p>
        </w:tc>
      </w:tr>
      <w:tr w:rsidR="00EE633F" w:rsidRPr="00180982" w14:paraId="35107272" w14:textId="77777777">
        <w:trPr>
          <w:jc w:val="center"/>
        </w:trPr>
        <w:tc>
          <w:tcPr>
            <w:tcW w:w="2160" w:type="dxa"/>
            <w:shd w:val="clear" w:color="auto" w:fill="EAF2FF"/>
          </w:tcPr>
          <w:p w14:paraId="4A17705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Geopolitical / Security Events</w:t>
            </w:r>
          </w:p>
        </w:tc>
        <w:tc>
          <w:tcPr>
            <w:tcW w:w="1296" w:type="dxa"/>
            <w:shd w:val="clear" w:color="auto" w:fill="EAF2FF"/>
          </w:tcPr>
          <w:p w14:paraId="003CA4E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Country Risk</w:t>
            </w:r>
          </w:p>
        </w:tc>
        <w:tc>
          <w:tcPr>
            <w:tcW w:w="1152" w:type="dxa"/>
            <w:shd w:val="clear" w:color="auto" w:fill="EAF2FF"/>
          </w:tcPr>
          <w:p w14:paraId="318DE9D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w:t>
            </w:r>
          </w:p>
        </w:tc>
        <w:tc>
          <w:tcPr>
            <w:tcW w:w="1152" w:type="dxa"/>
            <w:shd w:val="clear" w:color="auto" w:fill="EAF2FF"/>
          </w:tcPr>
          <w:p w14:paraId="2C51778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w:t>
            </w:r>
          </w:p>
        </w:tc>
        <w:tc>
          <w:tcPr>
            <w:tcW w:w="1296" w:type="dxa"/>
            <w:shd w:val="clear" w:color="auto" w:fill="EAF2FF"/>
          </w:tcPr>
          <w:p w14:paraId="4C62B59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8 — Med</w:t>
            </w:r>
          </w:p>
        </w:tc>
        <w:tc>
          <w:tcPr>
            <w:tcW w:w="2880" w:type="dxa"/>
            <w:shd w:val="clear" w:color="auto" w:fill="EAF2FF"/>
          </w:tcPr>
          <w:p w14:paraId="01DDCD0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Comprehensive insurance; security plan; crisis management protocol</w:t>
            </w:r>
          </w:p>
        </w:tc>
      </w:tr>
      <w:tr w:rsidR="00EE633F" w:rsidRPr="00180982" w14:paraId="060D2B70" w14:textId="77777777">
        <w:trPr>
          <w:jc w:val="center"/>
        </w:trPr>
        <w:tc>
          <w:tcPr>
            <w:tcW w:w="2160" w:type="dxa"/>
            <w:shd w:val="clear" w:color="auto" w:fill="FFFFFF"/>
          </w:tcPr>
          <w:p w14:paraId="5303498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Interest Rate Rise</w:t>
            </w:r>
          </w:p>
        </w:tc>
        <w:tc>
          <w:tcPr>
            <w:tcW w:w="1296" w:type="dxa"/>
            <w:shd w:val="clear" w:color="auto" w:fill="FFFFFF"/>
          </w:tcPr>
          <w:p w14:paraId="4028567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Financial</w:t>
            </w:r>
          </w:p>
        </w:tc>
        <w:tc>
          <w:tcPr>
            <w:tcW w:w="1152" w:type="dxa"/>
            <w:shd w:val="clear" w:color="auto" w:fill="FFFFFF"/>
          </w:tcPr>
          <w:p w14:paraId="6689392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w:t>
            </w:r>
          </w:p>
        </w:tc>
        <w:tc>
          <w:tcPr>
            <w:tcW w:w="1152" w:type="dxa"/>
            <w:shd w:val="clear" w:color="auto" w:fill="FFFFFF"/>
          </w:tcPr>
          <w:p w14:paraId="3962F3B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w:t>
            </w:r>
          </w:p>
        </w:tc>
        <w:tc>
          <w:tcPr>
            <w:tcW w:w="1296" w:type="dxa"/>
            <w:shd w:val="clear" w:color="auto" w:fill="FFFFFF"/>
          </w:tcPr>
          <w:p w14:paraId="242CD68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 — Med</w:t>
            </w:r>
          </w:p>
        </w:tc>
        <w:tc>
          <w:tcPr>
            <w:tcW w:w="2880" w:type="dxa"/>
            <w:shd w:val="clear" w:color="auto" w:fill="FFFFFF"/>
          </w:tcPr>
          <w:p w14:paraId="672EB61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Fix rate if possible; stress test at +200bps</w:t>
            </w:r>
          </w:p>
        </w:tc>
      </w:tr>
    </w:tbl>
    <w:p w14:paraId="4248244E" w14:textId="77777777" w:rsidR="00EE633F" w:rsidRPr="00180982" w:rsidRDefault="00EE633F">
      <w:pPr>
        <w:spacing w:after="80"/>
        <w:rPr>
          <w:rFonts w:asciiTheme="majorHAnsi" w:hAnsiTheme="majorHAnsi" w:cstheme="majorHAnsi"/>
        </w:rPr>
      </w:pPr>
    </w:p>
    <w:p w14:paraId="64A59C26"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9.1  Contingency Plan</w:t>
      </w:r>
    </w:p>
    <w:tbl>
      <w:tblPr>
        <w:tblStyle w:val="TableGrid"/>
        <w:tblW w:w="0" w:type="auto"/>
        <w:jc w:val="center"/>
        <w:tblLook w:val="04A0" w:firstRow="1" w:lastRow="0" w:firstColumn="1" w:lastColumn="0" w:noHBand="0" w:noVBand="1"/>
      </w:tblPr>
      <w:tblGrid>
        <w:gridCol w:w="2880"/>
        <w:gridCol w:w="5904"/>
      </w:tblGrid>
      <w:tr w:rsidR="00EE633F" w:rsidRPr="00180982" w14:paraId="53070501" w14:textId="77777777">
        <w:trPr>
          <w:jc w:val="center"/>
        </w:trPr>
        <w:tc>
          <w:tcPr>
            <w:tcW w:w="2880" w:type="dxa"/>
            <w:shd w:val="clear" w:color="auto" w:fill="1B4F72"/>
          </w:tcPr>
          <w:p w14:paraId="4064598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Action</w:t>
            </w:r>
          </w:p>
        </w:tc>
        <w:tc>
          <w:tcPr>
            <w:tcW w:w="5904" w:type="dxa"/>
            <w:shd w:val="clear" w:color="auto" w:fill="1B4F72"/>
          </w:tcPr>
          <w:p w14:paraId="64CACC2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Detail</w:t>
            </w:r>
          </w:p>
        </w:tc>
      </w:tr>
      <w:tr w:rsidR="00EE633F" w:rsidRPr="00180982" w14:paraId="1EB4C679" w14:textId="77777777">
        <w:trPr>
          <w:jc w:val="center"/>
        </w:trPr>
        <w:tc>
          <w:tcPr>
            <w:tcW w:w="2880" w:type="dxa"/>
            <w:shd w:val="clear" w:color="auto" w:fill="EAF2FF"/>
          </w:tcPr>
          <w:p w14:paraId="4F57D57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CAPEX Reserve</w:t>
            </w:r>
          </w:p>
        </w:tc>
        <w:tc>
          <w:tcPr>
            <w:tcW w:w="5904" w:type="dxa"/>
            <w:shd w:val="clear" w:color="auto" w:fill="EAF2FF"/>
          </w:tcPr>
          <w:p w14:paraId="77A5623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8% of hard construction costs (~USD 2</w:t>
            </w:r>
            <w:r w:rsidRPr="00180982">
              <w:rPr>
                <w:rFonts w:ascii="Arial" w:hAnsi="Arial" w:cs="Arial"/>
                <w:sz w:val="18"/>
              </w:rPr>
              <w:t>██</w:t>
            </w:r>
            <w:r w:rsidRPr="00180982">
              <w:rPr>
                <w:rFonts w:asciiTheme="majorHAnsi" w:hAnsiTheme="majorHAnsi" w:cstheme="majorHAnsi"/>
                <w:sz w:val="18"/>
              </w:rPr>
              <w:t>,</w:t>
            </w:r>
            <w:r w:rsidRPr="00180982">
              <w:rPr>
                <w:rFonts w:ascii="Arial" w:hAnsi="Arial" w:cs="Arial"/>
                <w:sz w:val="18"/>
              </w:rPr>
              <w:t>███</w:t>
            </w:r>
            <w:r w:rsidRPr="00180982">
              <w:rPr>
                <w:rFonts w:asciiTheme="majorHAnsi" w:hAnsiTheme="majorHAnsi" w:cstheme="majorHAnsi"/>
                <w:sz w:val="18"/>
              </w:rPr>
              <w:t>)</w:t>
            </w:r>
          </w:p>
        </w:tc>
      </w:tr>
      <w:tr w:rsidR="00EE633F" w:rsidRPr="00180982" w14:paraId="2FF48B98" w14:textId="77777777">
        <w:trPr>
          <w:jc w:val="center"/>
        </w:trPr>
        <w:tc>
          <w:tcPr>
            <w:tcW w:w="2880" w:type="dxa"/>
            <w:shd w:val="clear" w:color="auto" w:fill="FFFFFF"/>
          </w:tcPr>
          <w:p w14:paraId="182ECD5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Stage-Gate Investment Framework</w:t>
            </w:r>
          </w:p>
        </w:tc>
        <w:tc>
          <w:tcPr>
            <w:tcW w:w="5904" w:type="dxa"/>
            <w:shd w:val="clear" w:color="auto" w:fill="FFFFFF"/>
          </w:tcPr>
          <w:p w14:paraId="5687B9E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Board approval at end of Phase 1 before releasing Phase 2 capital</w:t>
            </w:r>
          </w:p>
        </w:tc>
      </w:tr>
      <w:tr w:rsidR="00EE633F" w:rsidRPr="00180982" w14:paraId="7158E66A" w14:textId="77777777">
        <w:trPr>
          <w:jc w:val="center"/>
        </w:trPr>
        <w:tc>
          <w:tcPr>
            <w:tcW w:w="2880" w:type="dxa"/>
            <w:shd w:val="clear" w:color="auto" w:fill="EAF2FF"/>
          </w:tcPr>
          <w:p w14:paraId="539C1F8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Supplier Shortlist</w:t>
            </w:r>
          </w:p>
        </w:tc>
        <w:tc>
          <w:tcPr>
            <w:tcW w:w="5904" w:type="dxa"/>
            <w:shd w:val="clear" w:color="auto" w:fill="EAF2FF"/>
          </w:tcPr>
          <w:p w14:paraId="2772920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Minimum 3 qualified suppliers per major equipment category</w:t>
            </w:r>
          </w:p>
        </w:tc>
      </w:tr>
      <w:tr w:rsidR="00EE633F" w:rsidRPr="00180982" w14:paraId="0AD9B27F" w14:textId="77777777">
        <w:trPr>
          <w:jc w:val="center"/>
        </w:trPr>
        <w:tc>
          <w:tcPr>
            <w:tcW w:w="2880" w:type="dxa"/>
            <w:shd w:val="clear" w:color="auto" w:fill="FFFFFF"/>
          </w:tcPr>
          <w:p w14:paraId="7A8C627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Minimum Occupancy Covenant</w:t>
            </w:r>
          </w:p>
        </w:tc>
        <w:tc>
          <w:tcPr>
            <w:tcW w:w="5904" w:type="dxa"/>
            <w:shd w:val="clear" w:color="auto" w:fill="FFFFFF"/>
          </w:tcPr>
          <w:p w14:paraId="76AAA06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Review and action plan if rolling monthly occupancy falls below 45% for 3 consecutive months</w:t>
            </w:r>
          </w:p>
        </w:tc>
      </w:tr>
    </w:tbl>
    <w:p w14:paraId="5CA16277" w14:textId="77777777" w:rsidR="00EE633F" w:rsidRPr="00180982" w:rsidRDefault="00EE633F">
      <w:pPr>
        <w:spacing w:after="80"/>
        <w:rPr>
          <w:rFonts w:asciiTheme="majorHAnsi" w:hAnsiTheme="majorHAnsi" w:cstheme="majorHAnsi"/>
        </w:rPr>
      </w:pPr>
    </w:p>
    <w:p w14:paraId="364B4F24" w14:textId="77777777" w:rsidR="00EE633F" w:rsidRPr="00180982" w:rsidRDefault="00000000">
      <w:pPr>
        <w:rPr>
          <w:rFonts w:asciiTheme="majorHAnsi" w:hAnsiTheme="majorHAnsi" w:cstheme="majorHAnsi"/>
        </w:rPr>
      </w:pPr>
      <w:r w:rsidRPr="00180982">
        <w:rPr>
          <w:rFonts w:asciiTheme="majorHAnsi" w:hAnsiTheme="majorHAnsi" w:cstheme="majorHAnsi"/>
        </w:rPr>
        <w:br w:type="page"/>
      </w:r>
    </w:p>
    <w:p w14:paraId="0227DEBD" w14:textId="77777777" w:rsidR="00EE633F" w:rsidRPr="00180982" w:rsidRDefault="00000000">
      <w:pPr>
        <w:spacing w:before="200" w:after="80"/>
        <w:rPr>
          <w:rFonts w:asciiTheme="majorHAnsi" w:hAnsiTheme="majorHAnsi" w:cstheme="majorHAnsi"/>
        </w:rPr>
      </w:pPr>
      <w:r w:rsidRPr="00180982">
        <w:rPr>
          <w:rFonts w:asciiTheme="majorHAnsi" w:hAnsiTheme="majorHAnsi" w:cstheme="majorHAnsi"/>
          <w:b/>
          <w:color w:val="1B4F72"/>
          <w:sz w:val="28"/>
        </w:rPr>
        <w:lastRenderedPageBreak/>
        <w:t>10.  Legal &amp; Regulatory Framework</w:t>
      </w:r>
    </w:p>
    <w:p w14:paraId="4E98B726" w14:textId="77777777" w:rsidR="00EE633F" w:rsidRPr="00180982" w:rsidRDefault="00000000">
      <w:pPr>
        <w:rPr>
          <w:rFonts w:asciiTheme="majorHAnsi" w:hAnsiTheme="majorHAnsi" w:cstheme="majorHAnsi"/>
        </w:rPr>
      </w:pPr>
      <w:r w:rsidRPr="00180982">
        <w:rPr>
          <w:rFonts w:asciiTheme="majorHAnsi" w:hAnsiTheme="majorHAnsi" w:cstheme="majorHAnsi"/>
          <w:color w:val="BDC3C7"/>
          <w:sz w:val="14"/>
        </w:rPr>
        <w:t>──────────────────────────────────────────────────────────────────────────────────────────────────────────────</w:t>
      </w:r>
    </w:p>
    <w:p w14:paraId="53B71961" w14:textId="77777777" w:rsidR="00EE633F" w:rsidRPr="00180982" w:rsidRDefault="00000000">
      <w:pPr>
        <w:spacing w:after="100"/>
        <w:rPr>
          <w:rFonts w:asciiTheme="majorHAnsi" w:hAnsiTheme="majorHAnsi" w:cstheme="majorHAnsi"/>
        </w:rPr>
      </w:pPr>
      <w:r w:rsidRPr="00180982">
        <w:rPr>
          <w:rFonts w:asciiTheme="majorHAnsi" w:hAnsiTheme="majorHAnsi" w:cstheme="majorHAnsi"/>
          <w:color w:val="17202A"/>
          <w:sz w:val="20"/>
        </w:rPr>
        <w:t>The project will be structured as a Private Limited Company registered under the Kenyan Companies Act. No prohibitive regulatory barriers have been identified. Standard hotel licensing and hospitality sector approvals apply.</w:t>
      </w:r>
    </w:p>
    <w:tbl>
      <w:tblPr>
        <w:tblStyle w:val="TableGrid"/>
        <w:tblW w:w="0" w:type="auto"/>
        <w:jc w:val="center"/>
        <w:tblLook w:val="04A0" w:firstRow="1" w:lastRow="0" w:firstColumn="1" w:lastColumn="0" w:noHBand="0" w:noVBand="1"/>
      </w:tblPr>
      <w:tblGrid>
        <w:gridCol w:w="2592"/>
        <w:gridCol w:w="2304"/>
        <w:gridCol w:w="1584"/>
        <w:gridCol w:w="1440"/>
      </w:tblGrid>
      <w:tr w:rsidR="00EE633F" w:rsidRPr="00180982" w14:paraId="5693E4A6" w14:textId="77777777">
        <w:trPr>
          <w:jc w:val="center"/>
        </w:trPr>
        <w:tc>
          <w:tcPr>
            <w:tcW w:w="2592" w:type="dxa"/>
            <w:shd w:val="clear" w:color="auto" w:fill="1B4F72"/>
          </w:tcPr>
          <w:p w14:paraId="3255704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Requirement</w:t>
            </w:r>
          </w:p>
        </w:tc>
        <w:tc>
          <w:tcPr>
            <w:tcW w:w="2304" w:type="dxa"/>
            <w:shd w:val="clear" w:color="auto" w:fill="1B4F72"/>
          </w:tcPr>
          <w:p w14:paraId="12C1766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Issuing Authority</w:t>
            </w:r>
          </w:p>
        </w:tc>
        <w:tc>
          <w:tcPr>
            <w:tcW w:w="1584" w:type="dxa"/>
            <w:shd w:val="clear" w:color="auto" w:fill="1B4F72"/>
          </w:tcPr>
          <w:p w14:paraId="22E793F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Status</w:t>
            </w:r>
          </w:p>
        </w:tc>
        <w:tc>
          <w:tcPr>
            <w:tcW w:w="1440" w:type="dxa"/>
            <w:shd w:val="clear" w:color="auto" w:fill="1B4F72"/>
          </w:tcPr>
          <w:p w14:paraId="29239EE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Estimated Timeline</w:t>
            </w:r>
          </w:p>
        </w:tc>
      </w:tr>
      <w:tr w:rsidR="00EE633F" w:rsidRPr="00180982" w14:paraId="1F293D4C" w14:textId="77777777">
        <w:trPr>
          <w:jc w:val="center"/>
        </w:trPr>
        <w:tc>
          <w:tcPr>
            <w:tcW w:w="2592" w:type="dxa"/>
            <w:shd w:val="clear" w:color="auto" w:fill="EAF2FF"/>
          </w:tcPr>
          <w:p w14:paraId="02B7A14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Company Registration</w:t>
            </w:r>
          </w:p>
        </w:tc>
        <w:tc>
          <w:tcPr>
            <w:tcW w:w="2304" w:type="dxa"/>
            <w:shd w:val="clear" w:color="auto" w:fill="EAF2FF"/>
          </w:tcPr>
          <w:p w14:paraId="59B1F22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Registrar of Companies (Kenya)</w:t>
            </w:r>
          </w:p>
        </w:tc>
        <w:tc>
          <w:tcPr>
            <w:tcW w:w="1584" w:type="dxa"/>
            <w:shd w:val="clear" w:color="auto" w:fill="EAF2FF"/>
          </w:tcPr>
          <w:p w14:paraId="1AA2F30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Pending</w:t>
            </w:r>
          </w:p>
        </w:tc>
        <w:tc>
          <w:tcPr>
            <w:tcW w:w="1440" w:type="dxa"/>
            <w:shd w:val="clear" w:color="auto" w:fill="EAF2FF"/>
          </w:tcPr>
          <w:p w14:paraId="7852E50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2–4 weeks</w:t>
            </w:r>
          </w:p>
        </w:tc>
      </w:tr>
      <w:tr w:rsidR="00EE633F" w:rsidRPr="00180982" w14:paraId="4AF288A1" w14:textId="77777777">
        <w:trPr>
          <w:jc w:val="center"/>
        </w:trPr>
        <w:tc>
          <w:tcPr>
            <w:tcW w:w="2592" w:type="dxa"/>
            <w:shd w:val="clear" w:color="auto" w:fill="FFFFFF"/>
          </w:tcPr>
          <w:p w14:paraId="0C215AE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Investment Certificate</w:t>
            </w:r>
          </w:p>
        </w:tc>
        <w:tc>
          <w:tcPr>
            <w:tcW w:w="2304" w:type="dxa"/>
            <w:shd w:val="clear" w:color="auto" w:fill="FFFFFF"/>
          </w:tcPr>
          <w:p w14:paraId="76A96F5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Kenya Investment Authority (KenInvest)</w:t>
            </w:r>
          </w:p>
        </w:tc>
        <w:tc>
          <w:tcPr>
            <w:tcW w:w="1584" w:type="dxa"/>
            <w:shd w:val="clear" w:color="auto" w:fill="FFFFFF"/>
          </w:tcPr>
          <w:p w14:paraId="5D22310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Pending</w:t>
            </w:r>
          </w:p>
        </w:tc>
        <w:tc>
          <w:tcPr>
            <w:tcW w:w="1440" w:type="dxa"/>
            <w:shd w:val="clear" w:color="auto" w:fill="FFFFFF"/>
          </w:tcPr>
          <w:p w14:paraId="03BED4B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4–6 weeks</w:t>
            </w:r>
          </w:p>
        </w:tc>
      </w:tr>
      <w:tr w:rsidR="00EE633F" w:rsidRPr="00180982" w14:paraId="304E61C5" w14:textId="77777777">
        <w:trPr>
          <w:jc w:val="center"/>
        </w:trPr>
        <w:tc>
          <w:tcPr>
            <w:tcW w:w="2592" w:type="dxa"/>
            <w:shd w:val="clear" w:color="auto" w:fill="EAF2FF"/>
          </w:tcPr>
          <w:p w14:paraId="55706BC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Planning / Development Permit</w:t>
            </w:r>
          </w:p>
        </w:tc>
        <w:tc>
          <w:tcPr>
            <w:tcW w:w="2304" w:type="dxa"/>
            <w:shd w:val="clear" w:color="auto" w:fill="EAF2FF"/>
          </w:tcPr>
          <w:p w14:paraId="54E331E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County Government / NEMA</w:t>
            </w:r>
          </w:p>
        </w:tc>
        <w:tc>
          <w:tcPr>
            <w:tcW w:w="1584" w:type="dxa"/>
            <w:shd w:val="clear" w:color="auto" w:fill="EAF2FF"/>
          </w:tcPr>
          <w:p w14:paraId="2AFDE30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Pending (site-specific)</w:t>
            </w:r>
          </w:p>
        </w:tc>
        <w:tc>
          <w:tcPr>
            <w:tcW w:w="1440" w:type="dxa"/>
            <w:shd w:val="clear" w:color="auto" w:fill="EAF2FF"/>
          </w:tcPr>
          <w:p w14:paraId="68FC40C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8–12 weeks</w:t>
            </w:r>
          </w:p>
        </w:tc>
      </w:tr>
      <w:tr w:rsidR="00EE633F" w:rsidRPr="00180982" w14:paraId="73309B55" w14:textId="77777777">
        <w:trPr>
          <w:jc w:val="center"/>
        </w:trPr>
        <w:tc>
          <w:tcPr>
            <w:tcW w:w="2592" w:type="dxa"/>
            <w:shd w:val="clear" w:color="auto" w:fill="FFFFFF"/>
          </w:tcPr>
          <w:p w14:paraId="4A099AF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Hotel Operating Licence</w:t>
            </w:r>
          </w:p>
        </w:tc>
        <w:tc>
          <w:tcPr>
            <w:tcW w:w="2304" w:type="dxa"/>
            <w:shd w:val="clear" w:color="auto" w:fill="FFFFFF"/>
          </w:tcPr>
          <w:p w14:paraId="6D8B75E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Tourism Regulatory Authority (TRA)</w:t>
            </w:r>
          </w:p>
        </w:tc>
        <w:tc>
          <w:tcPr>
            <w:tcW w:w="1584" w:type="dxa"/>
            <w:shd w:val="clear" w:color="auto" w:fill="FFFFFF"/>
          </w:tcPr>
          <w:p w14:paraId="1A37469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Pending</w:t>
            </w:r>
          </w:p>
        </w:tc>
        <w:tc>
          <w:tcPr>
            <w:tcW w:w="1440" w:type="dxa"/>
            <w:shd w:val="clear" w:color="auto" w:fill="FFFFFF"/>
          </w:tcPr>
          <w:p w14:paraId="559C95E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6–8 weeks</w:t>
            </w:r>
          </w:p>
        </w:tc>
      </w:tr>
      <w:tr w:rsidR="00EE633F" w:rsidRPr="00180982" w14:paraId="084B16F1" w14:textId="77777777">
        <w:trPr>
          <w:jc w:val="center"/>
        </w:trPr>
        <w:tc>
          <w:tcPr>
            <w:tcW w:w="2592" w:type="dxa"/>
            <w:shd w:val="clear" w:color="auto" w:fill="EAF2FF"/>
          </w:tcPr>
          <w:p w14:paraId="2AC3FDD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Fire Safety Certificate</w:t>
            </w:r>
          </w:p>
        </w:tc>
        <w:tc>
          <w:tcPr>
            <w:tcW w:w="2304" w:type="dxa"/>
            <w:shd w:val="clear" w:color="auto" w:fill="EAF2FF"/>
          </w:tcPr>
          <w:p w14:paraId="3BEE2BF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National Construction Authority / Fire Dept.</w:t>
            </w:r>
          </w:p>
        </w:tc>
        <w:tc>
          <w:tcPr>
            <w:tcW w:w="1584" w:type="dxa"/>
            <w:shd w:val="clear" w:color="auto" w:fill="EAF2FF"/>
          </w:tcPr>
          <w:p w14:paraId="3B18D30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Pending</w:t>
            </w:r>
          </w:p>
        </w:tc>
        <w:tc>
          <w:tcPr>
            <w:tcW w:w="1440" w:type="dxa"/>
            <w:shd w:val="clear" w:color="auto" w:fill="EAF2FF"/>
          </w:tcPr>
          <w:p w14:paraId="4263C36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Post-construction</w:t>
            </w:r>
          </w:p>
        </w:tc>
      </w:tr>
      <w:tr w:rsidR="00EE633F" w:rsidRPr="00180982" w14:paraId="33E6D667" w14:textId="77777777">
        <w:trPr>
          <w:jc w:val="center"/>
        </w:trPr>
        <w:tc>
          <w:tcPr>
            <w:tcW w:w="2592" w:type="dxa"/>
            <w:shd w:val="clear" w:color="auto" w:fill="FFFFFF"/>
          </w:tcPr>
          <w:p w14:paraId="43BBBF9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Health &amp; Safety Permit</w:t>
            </w:r>
          </w:p>
        </w:tc>
        <w:tc>
          <w:tcPr>
            <w:tcW w:w="2304" w:type="dxa"/>
            <w:shd w:val="clear" w:color="auto" w:fill="FFFFFF"/>
          </w:tcPr>
          <w:p w14:paraId="14B1EBD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Ministry of Health / County</w:t>
            </w:r>
          </w:p>
        </w:tc>
        <w:tc>
          <w:tcPr>
            <w:tcW w:w="1584" w:type="dxa"/>
            <w:shd w:val="clear" w:color="auto" w:fill="FFFFFF"/>
          </w:tcPr>
          <w:p w14:paraId="08B20EE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Pending</w:t>
            </w:r>
          </w:p>
        </w:tc>
        <w:tc>
          <w:tcPr>
            <w:tcW w:w="1440" w:type="dxa"/>
            <w:shd w:val="clear" w:color="auto" w:fill="FFFFFF"/>
          </w:tcPr>
          <w:p w14:paraId="31F234F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Post-construction</w:t>
            </w:r>
          </w:p>
        </w:tc>
      </w:tr>
      <w:tr w:rsidR="00EE633F" w:rsidRPr="00180982" w14:paraId="2272C8E7" w14:textId="77777777">
        <w:trPr>
          <w:jc w:val="center"/>
        </w:trPr>
        <w:tc>
          <w:tcPr>
            <w:tcW w:w="2592" w:type="dxa"/>
            <w:shd w:val="clear" w:color="auto" w:fill="EAF2FF"/>
          </w:tcPr>
          <w:p w14:paraId="39BBEBC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Food Handler Licences (F&amp;B)</w:t>
            </w:r>
          </w:p>
        </w:tc>
        <w:tc>
          <w:tcPr>
            <w:tcW w:w="2304" w:type="dxa"/>
            <w:shd w:val="clear" w:color="auto" w:fill="EAF2FF"/>
          </w:tcPr>
          <w:p w14:paraId="7950501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County Public Health Officer</w:t>
            </w:r>
          </w:p>
        </w:tc>
        <w:tc>
          <w:tcPr>
            <w:tcW w:w="1584" w:type="dxa"/>
            <w:shd w:val="clear" w:color="auto" w:fill="EAF2FF"/>
          </w:tcPr>
          <w:p w14:paraId="191E2BD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Pending</w:t>
            </w:r>
          </w:p>
        </w:tc>
        <w:tc>
          <w:tcPr>
            <w:tcW w:w="1440" w:type="dxa"/>
            <w:shd w:val="clear" w:color="auto" w:fill="EAF2FF"/>
          </w:tcPr>
          <w:p w14:paraId="3583F5A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Post-construction</w:t>
            </w:r>
          </w:p>
        </w:tc>
      </w:tr>
      <w:tr w:rsidR="00EE633F" w:rsidRPr="00180982" w14:paraId="04A26DBD" w14:textId="77777777">
        <w:trPr>
          <w:jc w:val="center"/>
        </w:trPr>
        <w:tc>
          <w:tcPr>
            <w:tcW w:w="2592" w:type="dxa"/>
            <w:shd w:val="clear" w:color="auto" w:fill="FFFFFF"/>
          </w:tcPr>
          <w:p w14:paraId="28920E3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Liquor Licence (if applicable)</w:t>
            </w:r>
          </w:p>
        </w:tc>
        <w:tc>
          <w:tcPr>
            <w:tcW w:w="2304" w:type="dxa"/>
            <w:shd w:val="clear" w:color="auto" w:fill="FFFFFF"/>
          </w:tcPr>
          <w:p w14:paraId="0638856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Alcoholic Drinks Control Board</w:t>
            </w:r>
          </w:p>
        </w:tc>
        <w:tc>
          <w:tcPr>
            <w:tcW w:w="1584" w:type="dxa"/>
            <w:shd w:val="clear" w:color="auto" w:fill="FFFFFF"/>
          </w:tcPr>
          <w:p w14:paraId="4162EBC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TBD</w:t>
            </w:r>
          </w:p>
        </w:tc>
        <w:tc>
          <w:tcPr>
            <w:tcW w:w="1440" w:type="dxa"/>
            <w:shd w:val="clear" w:color="auto" w:fill="FFFFFF"/>
          </w:tcPr>
          <w:p w14:paraId="0AFC1AF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4–8 weeks</w:t>
            </w:r>
          </w:p>
        </w:tc>
      </w:tr>
      <w:tr w:rsidR="00EE633F" w:rsidRPr="00180982" w14:paraId="5A45DEE5" w14:textId="77777777">
        <w:trPr>
          <w:jc w:val="center"/>
        </w:trPr>
        <w:tc>
          <w:tcPr>
            <w:tcW w:w="2592" w:type="dxa"/>
            <w:shd w:val="clear" w:color="auto" w:fill="EAF2FF"/>
          </w:tcPr>
          <w:p w14:paraId="6658AB7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Data Protection Registration</w:t>
            </w:r>
          </w:p>
        </w:tc>
        <w:tc>
          <w:tcPr>
            <w:tcW w:w="2304" w:type="dxa"/>
            <w:shd w:val="clear" w:color="auto" w:fill="EAF2FF"/>
          </w:tcPr>
          <w:p w14:paraId="72B81E0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Office of the Data Protection Commissioner</w:t>
            </w:r>
          </w:p>
        </w:tc>
        <w:tc>
          <w:tcPr>
            <w:tcW w:w="1584" w:type="dxa"/>
            <w:shd w:val="clear" w:color="auto" w:fill="EAF2FF"/>
          </w:tcPr>
          <w:p w14:paraId="1C65965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Pending</w:t>
            </w:r>
          </w:p>
        </w:tc>
        <w:tc>
          <w:tcPr>
            <w:tcW w:w="1440" w:type="dxa"/>
            <w:shd w:val="clear" w:color="auto" w:fill="EAF2FF"/>
          </w:tcPr>
          <w:p w14:paraId="004460E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2–4 weeks</w:t>
            </w:r>
          </w:p>
        </w:tc>
      </w:tr>
    </w:tbl>
    <w:p w14:paraId="4584EFC1" w14:textId="77777777" w:rsidR="00EE633F" w:rsidRPr="00180982" w:rsidRDefault="00EE633F">
      <w:pPr>
        <w:spacing w:after="80"/>
        <w:rPr>
          <w:rFonts w:asciiTheme="majorHAnsi" w:hAnsiTheme="majorHAnsi" w:cstheme="majorHAnsi"/>
        </w:rPr>
      </w:pPr>
    </w:p>
    <w:p w14:paraId="17EE8AF2" w14:textId="77777777" w:rsidR="00EE633F" w:rsidRPr="00180982" w:rsidRDefault="00000000">
      <w:pPr>
        <w:rPr>
          <w:rFonts w:asciiTheme="majorHAnsi" w:hAnsiTheme="majorHAnsi" w:cstheme="majorHAnsi"/>
        </w:rPr>
      </w:pPr>
      <w:r w:rsidRPr="00180982">
        <w:rPr>
          <w:rFonts w:asciiTheme="majorHAnsi" w:hAnsiTheme="majorHAnsi" w:cstheme="majorHAnsi"/>
        </w:rPr>
        <w:br w:type="page"/>
      </w:r>
    </w:p>
    <w:p w14:paraId="3555127F" w14:textId="77777777" w:rsidR="00EE633F" w:rsidRPr="00180982" w:rsidRDefault="00000000">
      <w:pPr>
        <w:spacing w:before="200" w:after="80"/>
        <w:rPr>
          <w:rFonts w:asciiTheme="majorHAnsi" w:hAnsiTheme="majorHAnsi" w:cstheme="majorHAnsi"/>
        </w:rPr>
      </w:pPr>
      <w:r w:rsidRPr="00180982">
        <w:rPr>
          <w:rFonts w:asciiTheme="majorHAnsi" w:hAnsiTheme="majorHAnsi" w:cstheme="majorHAnsi"/>
          <w:b/>
          <w:color w:val="1B4F72"/>
          <w:sz w:val="28"/>
        </w:rPr>
        <w:lastRenderedPageBreak/>
        <w:t>11.  Environmental &amp; Social Considerations</w:t>
      </w:r>
    </w:p>
    <w:p w14:paraId="1BB36EE7" w14:textId="77777777" w:rsidR="00EE633F" w:rsidRPr="00180982" w:rsidRDefault="00000000">
      <w:pPr>
        <w:rPr>
          <w:rFonts w:asciiTheme="majorHAnsi" w:hAnsiTheme="majorHAnsi" w:cstheme="majorHAnsi"/>
        </w:rPr>
      </w:pPr>
      <w:r w:rsidRPr="00180982">
        <w:rPr>
          <w:rFonts w:asciiTheme="majorHAnsi" w:hAnsiTheme="majorHAnsi" w:cstheme="majorHAnsi"/>
          <w:color w:val="BDC3C7"/>
          <w:sz w:val="14"/>
        </w:rPr>
        <w:t>──────────────────────────────────────────────────────────────────────────────────────────────────────────────</w:t>
      </w:r>
    </w:p>
    <w:p w14:paraId="4DB24273" w14:textId="77777777" w:rsidR="00EE633F" w:rsidRPr="00180982" w:rsidRDefault="00000000">
      <w:pPr>
        <w:spacing w:after="100"/>
        <w:rPr>
          <w:rFonts w:asciiTheme="majorHAnsi" w:hAnsiTheme="majorHAnsi" w:cstheme="majorHAnsi"/>
        </w:rPr>
      </w:pPr>
      <w:r w:rsidRPr="00180982">
        <w:rPr>
          <w:rFonts w:asciiTheme="majorHAnsi" w:hAnsiTheme="majorHAnsi" w:cstheme="majorHAnsi"/>
          <w:color w:val="17202A"/>
          <w:sz w:val="20"/>
        </w:rPr>
        <w:t>A full Environmental Impact Assessment (EIA) is required for this project and is out of scope for this sample. The following considerations have been identified as material and should be addressed in the full feasibility and EIA phases.</w:t>
      </w:r>
    </w:p>
    <w:tbl>
      <w:tblPr>
        <w:tblStyle w:val="TableGrid"/>
        <w:tblW w:w="0" w:type="auto"/>
        <w:jc w:val="center"/>
        <w:tblLook w:val="04A0" w:firstRow="1" w:lastRow="0" w:firstColumn="1" w:lastColumn="0" w:noHBand="0" w:noVBand="1"/>
      </w:tblPr>
      <w:tblGrid>
        <w:gridCol w:w="2160"/>
        <w:gridCol w:w="3600"/>
        <w:gridCol w:w="2880"/>
      </w:tblGrid>
      <w:tr w:rsidR="00EE633F" w:rsidRPr="00180982" w14:paraId="2B42B4CD" w14:textId="77777777">
        <w:trPr>
          <w:jc w:val="center"/>
        </w:trPr>
        <w:tc>
          <w:tcPr>
            <w:tcW w:w="2160" w:type="dxa"/>
            <w:shd w:val="clear" w:color="auto" w:fill="1B4F72"/>
          </w:tcPr>
          <w:p w14:paraId="4AAC07E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ESG Dimension</w:t>
            </w:r>
          </w:p>
        </w:tc>
        <w:tc>
          <w:tcPr>
            <w:tcW w:w="3600" w:type="dxa"/>
            <w:shd w:val="clear" w:color="auto" w:fill="1B4F72"/>
          </w:tcPr>
          <w:p w14:paraId="44B7DF6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Consideration</w:t>
            </w:r>
          </w:p>
        </w:tc>
        <w:tc>
          <w:tcPr>
            <w:tcW w:w="2880" w:type="dxa"/>
            <w:shd w:val="clear" w:color="auto" w:fill="1B4F72"/>
          </w:tcPr>
          <w:p w14:paraId="5D01DB3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KPI / Target</w:t>
            </w:r>
          </w:p>
        </w:tc>
      </w:tr>
      <w:tr w:rsidR="00EE633F" w:rsidRPr="00180982" w14:paraId="7C90A46F" w14:textId="77777777">
        <w:trPr>
          <w:jc w:val="center"/>
        </w:trPr>
        <w:tc>
          <w:tcPr>
            <w:tcW w:w="2160" w:type="dxa"/>
            <w:shd w:val="clear" w:color="auto" w:fill="EAF2FF"/>
          </w:tcPr>
          <w:p w14:paraId="391EF9A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Employment &amp; Livelihoods</w:t>
            </w:r>
          </w:p>
        </w:tc>
        <w:tc>
          <w:tcPr>
            <w:tcW w:w="3600" w:type="dxa"/>
            <w:shd w:val="clear" w:color="auto" w:fill="EAF2FF"/>
          </w:tcPr>
          <w:p w14:paraId="745D86E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~65 direct FTE + 120–180 indirect jobs</w:t>
            </w:r>
          </w:p>
        </w:tc>
        <w:tc>
          <w:tcPr>
            <w:tcW w:w="2880" w:type="dxa"/>
            <w:shd w:val="clear" w:color="auto" w:fill="EAF2FF"/>
          </w:tcPr>
          <w:p w14:paraId="430D9EC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Jobs created by opening date</w:t>
            </w:r>
          </w:p>
        </w:tc>
      </w:tr>
      <w:tr w:rsidR="00EE633F" w:rsidRPr="00180982" w14:paraId="2B0CFA07" w14:textId="77777777">
        <w:trPr>
          <w:jc w:val="center"/>
        </w:trPr>
        <w:tc>
          <w:tcPr>
            <w:tcW w:w="2160" w:type="dxa"/>
            <w:shd w:val="clear" w:color="auto" w:fill="FFFFFF"/>
          </w:tcPr>
          <w:p w14:paraId="5401315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Local Procurement</w:t>
            </w:r>
          </w:p>
        </w:tc>
        <w:tc>
          <w:tcPr>
            <w:tcW w:w="3600" w:type="dxa"/>
            <w:shd w:val="clear" w:color="auto" w:fill="FFFFFF"/>
          </w:tcPr>
          <w:p w14:paraId="4CCF53C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Target ≥60% of F&amp;B supplies and non-technical materials from local/regional suppliers</w:t>
            </w:r>
          </w:p>
        </w:tc>
        <w:tc>
          <w:tcPr>
            <w:tcW w:w="2880" w:type="dxa"/>
            <w:shd w:val="clear" w:color="auto" w:fill="FFFFFF"/>
          </w:tcPr>
          <w:p w14:paraId="48CE3D2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 of local spend</w:t>
            </w:r>
          </w:p>
        </w:tc>
      </w:tr>
      <w:tr w:rsidR="00EE633F" w:rsidRPr="00180982" w14:paraId="3B4D3418" w14:textId="77777777">
        <w:trPr>
          <w:jc w:val="center"/>
        </w:trPr>
        <w:tc>
          <w:tcPr>
            <w:tcW w:w="2160" w:type="dxa"/>
            <w:shd w:val="clear" w:color="auto" w:fill="EAF2FF"/>
          </w:tcPr>
          <w:p w14:paraId="2BE0B7D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Energy Efficiency</w:t>
            </w:r>
          </w:p>
        </w:tc>
        <w:tc>
          <w:tcPr>
            <w:tcW w:w="3600" w:type="dxa"/>
            <w:shd w:val="clear" w:color="auto" w:fill="EAF2FF"/>
          </w:tcPr>
          <w:p w14:paraId="66FA3A2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LED lighting throughout; energy management system; solar water heating considered</w:t>
            </w:r>
          </w:p>
        </w:tc>
        <w:tc>
          <w:tcPr>
            <w:tcW w:w="2880" w:type="dxa"/>
            <w:shd w:val="clear" w:color="auto" w:fill="EAF2FF"/>
          </w:tcPr>
          <w:p w14:paraId="2896C69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Energy intensity per occupied room vs. benchmark</w:t>
            </w:r>
          </w:p>
        </w:tc>
      </w:tr>
      <w:tr w:rsidR="00EE633F" w:rsidRPr="00180982" w14:paraId="21D7D0FC" w14:textId="77777777">
        <w:trPr>
          <w:jc w:val="center"/>
        </w:trPr>
        <w:tc>
          <w:tcPr>
            <w:tcW w:w="2160" w:type="dxa"/>
            <w:shd w:val="clear" w:color="auto" w:fill="FFFFFF"/>
          </w:tcPr>
          <w:p w14:paraId="1BD4612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Water Management</w:t>
            </w:r>
          </w:p>
        </w:tc>
        <w:tc>
          <w:tcPr>
            <w:tcW w:w="3600" w:type="dxa"/>
            <w:shd w:val="clear" w:color="auto" w:fill="FFFFFF"/>
          </w:tcPr>
          <w:p w14:paraId="3D9ECB6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Water-saving fixtures; grey water recycling for irrigation where feasible</w:t>
            </w:r>
          </w:p>
        </w:tc>
        <w:tc>
          <w:tcPr>
            <w:tcW w:w="2880" w:type="dxa"/>
            <w:shd w:val="clear" w:color="auto" w:fill="FFFFFF"/>
          </w:tcPr>
          <w:p w14:paraId="0FED68B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Water consumption per guest night</w:t>
            </w:r>
          </w:p>
        </w:tc>
      </w:tr>
      <w:tr w:rsidR="00EE633F" w:rsidRPr="00180982" w14:paraId="2F36862A" w14:textId="77777777">
        <w:trPr>
          <w:jc w:val="center"/>
        </w:trPr>
        <w:tc>
          <w:tcPr>
            <w:tcW w:w="2160" w:type="dxa"/>
            <w:shd w:val="clear" w:color="auto" w:fill="EAF2FF"/>
          </w:tcPr>
          <w:p w14:paraId="6F79217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Waste Management</w:t>
            </w:r>
          </w:p>
        </w:tc>
        <w:tc>
          <w:tcPr>
            <w:tcW w:w="3600" w:type="dxa"/>
            <w:shd w:val="clear" w:color="auto" w:fill="EAF2FF"/>
          </w:tcPr>
          <w:p w14:paraId="1505F53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Waste segregation; F&amp;B waste composting; single-use plastics reduction</w:t>
            </w:r>
          </w:p>
        </w:tc>
        <w:tc>
          <w:tcPr>
            <w:tcW w:w="2880" w:type="dxa"/>
            <w:shd w:val="clear" w:color="auto" w:fill="EAF2FF"/>
          </w:tcPr>
          <w:p w14:paraId="209C821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 waste to landfill</w:t>
            </w:r>
          </w:p>
        </w:tc>
      </w:tr>
      <w:tr w:rsidR="00EE633F" w:rsidRPr="00180982" w14:paraId="1A0C4FAA" w14:textId="77777777">
        <w:trPr>
          <w:jc w:val="center"/>
        </w:trPr>
        <w:tc>
          <w:tcPr>
            <w:tcW w:w="2160" w:type="dxa"/>
            <w:shd w:val="clear" w:color="auto" w:fill="FFFFFF"/>
          </w:tcPr>
          <w:p w14:paraId="59C5D7B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Community CSR</w:t>
            </w:r>
          </w:p>
        </w:tc>
        <w:tc>
          <w:tcPr>
            <w:tcW w:w="3600" w:type="dxa"/>
            <w:shd w:val="clear" w:color="auto" w:fill="FFFFFF"/>
          </w:tcPr>
          <w:p w14:paraId="15F26FB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Hospitality training programme for local youth; community event sponsorship (TBD)</w:t>
            </w:r>
          </w:p>
        </w:tc>
        <w:tc>
          <w:tcPr>
            <w:tcW w:w="2880" w:type="dxa"/>
            <w:shd w:val="clear" w:color="auto" w:fill="FFFFFF"/>
          </w:tcPr>
          <w:p w14:paraId="10B565B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Training hours; USD community investment value</w:t>
            </w:r>
          </w:p>
        </w:tc>
      </w:tr>
      <w:tr w:rsidR="00EE633F" w:rsidRPr="00180982" w14:paraId="7E9B16AF" w14:textId="77777777">
        <w:trPr>
          <w:jc w:val="center"/>
        </w:trPr>
        <w:tc>
          <w:tcPr>
            <w:tcW w:w="2160" w:type="dxa"/>
            <w:shd w:val="clear" w:color="auto" w:fill="EAF2FF"/>
          </w:tcPr>
          <w:p w14:paraId="6558DDF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Health &amp; Safety</w:t>
            </w:r>
          </w:p>
        </w:tc>
        <w:tc>
          <w:tcPr>
            <w:tcW w:w="3600" w:type="dxa"/>
            <w:shd w:val="clear" w:color="auto" w:fill="EAF2FF"/>
          </w:tcPr>
          <w:p w14:paraId="1D48F35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Full compliance with Kenyan H&amp;S regulations; employee wellness programme</w:t>
            </w:r>
          </w:p>
        </w:tc>
        <w:tc>
          <w:tcPr>
            <w:tcW w:w="2880" w:type="dxa"/>
            <w:shd w:val="clear" w:color="auto" w:fill="EAF2FF"/>
          </w:tcPr>
          <w:p w14:paraId="12AC7F4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Lost-time injury rate</w:t>
            </w:r>
          </w:p>
        </w:tc>
      </w:tr>
    </w:tbl>
    <w:p w14:paraId="1EC2469D" w14:textId="77777777" w:rsidR="00EE633F" w:rsidRPr="00180982" w:rsidRDefault="00EE633F">
      <w:pPr>
        <w:spacing w:after="80"/>
        <w:rPr>
          <w:rFonts w:asciiTheme="majorHAnsi" w:hAnsiTheme="majorHAnsi" w:cstheme="majorHAnsi"/>
        </w:rPr>
      </w:pPr>
    </w:p>
    <w:p w14:paraId="1E1BC570" w14:textId="77777777" w:rsidR="00EE633F" w:rsidRPr="00180982" w:rsidRDefault="00000000">
      <w:pPr>
        <w:spacing w:before="200" w:after="80"/>
        <w:rPr>
          <w:rFonts w:asciiTheme="majorHAnsi" w:hAnsiTheme="majorHAnsi" w:cstheme="majorHAnsi"/>
        </w:rPr>
      </w:pPr>
      <w:r w:rsidRPr="00180982">
        <w:rPr>
          <w:rFonts w:asciiTheme="majorHAnsi" w:hAnsiTheme="majorHAnsi" w:cstheme="majorHAnsi"/>
          <w:b/>
          <w:color w:val="1B4F72"/>
          <w:sz w:val="28"/>
        </w:rPr>
        <w:t>12.  Conclusions &amp; Recommendations</w:t>
      </w:r>
    </w:p>
    <w:p w14:paraId="2A720958" w14:textId="77777777" w:rsidR="00EE633F" w:rsidRPr="00180982" w:rsidRDefault="00000000">
      <w:pPr>
        <w:rPr>
          <w:rFonts w:asciiTheme="majorHAnsi" w:hAnsiTheme="majorHAnsi" w:cstheme="majorHAnsi"/>
        </w:rPr>
      </w:pPr>
      <w:r w:rsidRPr="00180982">
        <w:rPr>
          <w:rFonts w:asciiTheme="majorHAnsi" w:hAnsiTheme="majorHAnsi" w:cstheme="majorHAnsi"/>
          <w:color w:val="BDC3C7"/>
          <w:sz w:val="14"/>
        </w:rPr>
        <w:t>──────────────────────────────────────────────────────────────────────────────────────────────────────────────</w:t>
      </w:r>
    </w:p>
    <w:p w14:paraId="73DD3C86"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12.1  Ur-Serv Recommendation</w:t>
      </w:r>
    </w:p>
    <w:p w14:paraId="0967CC6E" w14:textId="77777777" w:rsidR="00EE633F" w:rsidRPr="00180982" w:rsidRDefault="00000000">
      <w:pPr>
        <w:spacing w:after="100"/>
        <w:rPr>
          <w:rFonts w:asciiTheme="majorHAnsi" w:hAnsiTheme="majorHAnsi" w:cstheme="majorHAnsi"/>
        </w:rPr>
      </w:pPr>
      <w:r w:rsidRPr="00180982">
        <w:rPr>
          <w:rFonts w:asciiTheme="majorHAnsi" w:hAnsiTheme="majorHAnsi" w:cstheme="majorHAnsi"/>
          <w:color w:val="17202A"/>
          <w:sz w:val="20"/>
        </w:rPr>
        <w:t>Based on the preliminary analysis conducted, Ur-Serv Business Advisory finds that the Atlantic Hospitality Hotel project is directionally viable under base-case assumptions. The market opportunity is real and growing, the financial model is positive at break-even occupancy levels achievable in Year 1, and the identified risks are manageable with appropriate mitigation measures. Ur-Serv recommends proceeding to a full feasibility study with primary and confirmed data.</w:t>
      </w:r>
    </w:p>
    <w:p w14:paraId="6E1A533A"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12.2  Immediate Next Steps</w:t>
      </w:r>
    </w:p>
    <w:tbl>
      <w:tblPr>
        <w:tblStyle w:val="TableGrid"/>
        <w:tblW w:w="0" w:type="auto"/>
        <w:jc w:val="center"/>
        <w:tblLook w:val="04A0" w:firstRow="1" w:lastRow="0" w:firstColumn="1" w:lastColumn="0" w:noHBand="0" w:noVBand="1"/>
      </w:tblPr>
      <w:tblGrid>
        <w:gridCol w:w="432"/>
        <w:gridCol w:w="3744"/>
        <w:gridCol w:w="1872"/>
        <w:gridCol w:w="1440"/>
      </w:tblGrid>
      <w:tr w:rsidR="00EE633F" w:rsidRPr="00180982" w14:paraId="44D33289" w14:textId="77777777">
        <w:trPr>
          <w:jc w:val="center"/>
        </w:trPr>
        <w:tc>
          <w:tcPr>
            <w:tcW w:w="432" w:type="dxa"/>
            <w:shd w:val="clear" w:color="auto" w:fill="1B4F72"/>
          </w:tcPr>
          <w:p w14:paraId="02F7CBE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w:t>
            </w:r>
          </w:p>
        </w:tc>
        <w:tc>
          <w:tcPr>
            <w:tcW w:w="3744" w:type="dxa"/>
            <w:shd w:val="clear" w:color="auto" w:fill="1B4F72"/>
          </w:tcPr>
          <w:p w14:paraId="77567C9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Action</w:t>
            </w:r>
          </w:p>
        </w:tc>
        <w:tc>
          <w:tcPr>
            <w:tcW w:w="1872" w:type="dxa"/>
            <w:shd w:val="clear" w:color="auto" w:fill="1B4F72"/>
          </w:tcPr>
          <w:p w14:paraId="4BF6899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Owner</w:t>
            </w:r>
          </w:p>
        </w:tc>
        <w:tc>
          <w:tcPr>
            <w:tcW w:w="1440" w:type="dxa"/>
            <w:shd w:val="clear" w:color="auto" w:fill="1B4F72"/>
          </w:tcPr>
          <w:p w14:paraId="4C0A5E5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Timeline</w:t>
            </w:r>
          </w:p>
        </w:tc>
      </w:tr>
      <w:tr w:rsidR="00EE633F" w:rsidRPr="00180982" w14:paraId="64A18383" w14:textId="77777777">
        <w:trPr>
          <w:jc w:val="center"/>
        </w:trPr>
        <w:tc>
          <w:tcPr>
            <w:tcW w:w="432" w:type="dxa"/>
            <w:shd w:val="clear" w:color="auto" w:fill="EAF2FF"/>
          </w:tcPr>
          <w:p w14:paraId="75468B4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1</w:t>
            </w:r>
          </w:p>
        </w:tc>
        <w:tc>
          <w:tcPr>
            <w:tcW w:w="3744" w:type="dxa"/>
            <w:shd w:val="clear" w:color="auto" w:fill="EAF2FF"/>
          </w:tcPr>
          <w:p w14:paraId="2E5B31D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Approve full feasibility study scope and budget</w:t>
            </w:r>
          </w:p>
        </w:tc>
        <w:tc>
          <w:tcPr>
            <w:tcW w:w="1872" w:type="dxa"/>
            <w:shd w:val="clear" w:color="auto" w:fill="EAF2FF"/>
          </w:tcPr>
          <w:p w14:paraId="7B94AEF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Client / Investor</w:t>
            </w:r>
          </w:p>
        </w:tc>
        <w:tc>
          <w:tcPr>
            <w:tcW w:w="1440" w:type="dxa"/>
            <w:shd w:val="clear" w:color="auto" w:fill="EAF2FF"/>
          </w:tcPr>
          <w:p w14:paraId="1208549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Immediate</w:t>
            </w:r>
          </w:p>
        </w:tc>
      </w:tr>
      <w:tr w:rsidR="00EE633F" w:rsidRPr="00180982" w14:paraId="5CA5CDAE" w14:textId="77777777">
        <w:trPr>
          <w:jc w:val="center"/>
        </w:trPr>
        <w:tc>
          <w:tcPr>
            <w:tcW w:w="432" w:type="dxa"/>
            <w:shd w:val="clear" w:color="auto" w:fill="FFFFFF"/>
          </w:tcPr>
          <w:p w14:paraId="233F18F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2</w:t>
            </w:r>
          </w:p>
        </w:tc>
        <w:tc>
          <w:tcPr>
            <w:tcW w:w="3744" w:type="dxa"/>
            <w:shd w:val="clear" w:color="auto" w:fill="FFFFFF"/>
          </w:tcPr>
          <w:p w14:paraId="46ACEC6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Commission primary market research (client interviews, corporate demand survey)</w:t>
            </w:r>
          </w:p>
        </w:tc>
        <w:tc>
          <w:tcPr>
            <w:tcW w:w="1872" w:type="dxa"/>
            <w:shd w:val="clear" w:color="auto" w:fill="FFFFFF"/>
          </w:tcPr>
          <w:p w14:paraId="72F537B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Ur-Serv / Research Firm</w:t>
            </w:r>
          </w:p>
        </w:tc>
        <w:tc>
          <w:tcPr>
            <w:tcW w:w="1440" w:type="dxa"/>
            <w:shd w:val="clear" w:color="auto" w:fill="FFFFFF"/>
          </w:tcPr>
          <w:p w14:paraId="4467C96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Week 1–3</w:t>
            </w:r>
          </w:p>
        </w:tc>
      </w:tr>
      <w:tr w:rsidR="00EE633F" w:rsidRPr="00180982" w14:paraId="6A2E64A7" w14:textId="77777777">
        <w:trPr>
          <w:jc w:val="center"/>
        </w:trPr>
        <w:tc>
          <w:tcPr>
            <w:tcW w:w="432" w:type="dxa"/>
            <w:shd w:val="clear" w:color="auto" w:fill="EAF2FF"/>
          </w:tcPr>
          <w:p w14:paraId="5FD0699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3</w:t>
            </w:r>
          </w:p>
        </w:tc>
        <w:tc>
          <w:tcPr>
            <w:tcW w:w="3744" w:type="dxa"/>
            <w:shd w:val="clear" w:color="auto" w:fill="EAF2FF"/>
          </w:tcPr>
          <w:p w14:paraId="596EEC5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Obtain formal CAPEX quotes from 3+ contractors and key equipment suppliers</w:t>
            </w:r>
          </w:p>
        </w:tc>
        <w:tc>
          <w:tcPr>
            <w:tcW w:w="1872" w:type="dxa"/>
            <w:shd w:val="clear" w:color="auto" w:fill="EAF2FF"/>
          </w:tcPr>
          <w:p w14:paraId="0F6CB6F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Project Developer</w:t>
            </w:r>
          </w:p>
        </w:tc>
        <w:tc>
          <w:tcPr>
            <w:tcW w:w="1440" w:type="dxa"/>
            <w:shd w:val="clear" w:color="auto" w:fill="EAF2FF"/>
          </w:tcPr>
          <w:p w14:paraId="58B31B6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Week 1–4</w:t>
            </w:r>
          </w:p>
        </w:tc>
      </w:tr>
      <w:tr w:rsidR="00EE633F" w:rsidRPr="00180982" w14:paraId="1A216B5F" w14:textId="77777777">
        <w:trPr>
          <w:jc w:val="center"/>
        </w:trPr>
        <w:tc>
          <w:tcPr>
            <w:tcW w:w="432" w:type="dxa"/>
            <w:shd w:val="clear" w:color="auto" w:fill="FFFFFF"/>
          </w:tcPr>
          <w:p w14:paraId="10D843A5"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4</w:t>
            </w:r>
          </w:p>
        </w:tc>
        <w:tc>
          <w:tcPr>
            <w:tcW w:w="3744" w:type="dxa"/>
            <w:shd w:val="clear" w:color="auto" w:fill="FFFFFF"/>
          </w:tcPr>
          <w:p w14:paraId="53A7D6C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Engage Kenyan legal/regulatory advisor to confirm permits and incentives</w:t>
            </w:r>
          </w:p>
        </w:tc>
        <w:tc>
          <w:tcPr>
            <w:tcW w:w="1872" w:type="dxa"/>
            <w:shd w:val="clear" w:color="auto" w:fill="FFFFFF"/>
          </w:tcPr>
          <w:p w14:paraId="68E74ED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Client</w:t>
            </w:r>
          </w:p>
        </w:tc>
        <w:tc>
          <w:tcPr>
            <w:tcW w:w="1440" w:type="dxa"/>
            <w:shd w:val="clear" w:color="auto" w:fill="FFFFFF"/>
          </w:tcPr>
          <w:p w14:paraId="0CC91B1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Week 1–2</w:t>
            </w:r>
          </w:p>
        </w:tc>
      </w:tr>
      <w:tr w:rsidR="00EE633F" w:rsidRPr="00180982" w14:paraId="27683FEE" w14:textId="77777777">
        <w:trPr>
          <w:jc w:val="center"/>
        </w:trPr>
        <w:tc>
          <w:tcPr>
            <w:tcW w:w="432" w:type="dxa"/>
            <w:shd w:val="clear" w:color="auto" w:fill="EAF2FF"/>
          </w:tcPr>
          <w:p w14:paraId="0F20D47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5</w:t>
            </w:r>
          </w:p>
        </w:tc>
        <w:tc>
          <w:tcPr>
            <w:tcW w:w="3744" w:type="dxa"/>
            <w:shd w:val="clear" w:color="auto" w:fill="EAF2FF"/>
          </w:tcPr>
          <w:p w14:paraId="7983682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Identify and evaluate 2–3 candidate sites; commission land surveys</w:t>
            </w:r>
          </w:p>
        </w:tc>
        <w:tc>
          <w:tcPr>
            <w:tcW w:w="1872" w:type="dxa"/>
            <w:shd w:val="clear" w:color="auto" w:fill="EAF2FF"/>
          </w:tcPr>
          <w:p w14:paraId="413F0C8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Developer / Ur-Serv</w:t>
            </w:r>
          </w:p>
        </w:tc>
        <w:tc>
          <w:tcPr>
            <w:tcW w:w="1440" w:type="dxa"/>
            <w:shd w:val="clear" w:color="auto" w:fill="EAF2FF"/>
          </w:tcPr>
          <w:p w14:paraId="2AD0CD7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Week 2–5</w:t>
            </w:r>
          </w:p>
        </w:tc>
      </w:tr>
      <w:tr w:rsidR="00EE633F" w:rsidRPr="00180982" w14:paraId="337F6D3A" w14:textId="77777777">
        <w:trPr>
          <w:jc w:val="center"/>
        </w:trPr>
        <w:tc>
          <w:tcPr>
            <w:tcW w:w="432" w:type="dxa"/>
            <w:shd w:val="clear" w:color="auto" w:fill="FFFFFF"/>
          </w:tcPr>
          <w:p w14:paraId="6569492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6</w:t>
            </w:r>
          </w:p>
        </w:tc>
        <w:tc>
          <w:tcPr>
            <w:tcW w:w="3744" w:type="dxa"/>
            <w:shd w:val="clear" w:color="auto" w:fill="FFFFFF"/>
          </w:tcPr>
          <w:p w14:paraId="13293AA3"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Negotiate with lending institution / DFI for indicative term sheet</w:t>
            </w:r>
          </w:p>
        </w:tc>
        <w:tc>
          <w:tcPr>
            <w:tcW w:w="1872" w:type="dxa"/>
            <w:shd w:val="clear" w:color="auto" w:fill="FFFFFF"/>
          </w:tcPr>
          <w:p w14:paraId="2FBB394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Client / CFO</w:t>
            </w:r>
          </w:p>
        </w:tc>
        <w:tc>
          <w:tcPr>
            <w:tcW w:w="1440" w:type="dxa"/>
            <w:shd w:val="clear" w:color="auto" w:fill="FFFFFF"/>
          </w:tcPr>
          <w:p w14:paraId="3C91769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Week 3–6</w:t>
            </w:r>
          </w:p>
        </w:tc>
      </w:tr>
      <w:tr w:rsidR="00EE633F" w:rsidRPr="00180982" w14:paraId="07D925E7" w14:textId="77777777">
        <w:trPr>
          <w:jc w:val="center"/>
        </w:trPr>
        <w:tc>
          <w:tcPr>
            <w:tcW w:w="432" w:type="dxa"/>
            <w:shd w:val="clear" w:color="auto" w:fill="EAF2FF"/>
          </w:tcPr>
          <w:p w14:paraId="3A8E12E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7</w:t>
            </w:r>
          </w:p>
        </w:tc>
        <w:tc>
          <w:tcPr>
            <w:tcW w:w="3744" w:type="dxa"/>
            <w:shd w:val="clear" w:color="auto" w:fill="EAF2FF"/>
          </w:tcPr>
          <w:p w14:paraId="7777F0A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Identify and engage with potential hotel management partners</w:t>
            </w:r>
          </w:p>
        </w:tc>
        <w:tc>
          <w:tcPr>
            <w:tcW w:w="1872" w:type="dxa"/>
            <w:shd w:val="clear" w:color="auto" w:fill="EAF2FF"/>
          </w:tcPr>
          <w:p w14:paraId="4F58DEA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Client</w:t>
            </w:r>
          </w:p>
        </w:tc>
        <w:tc>
          <w:tcPr>
            <w:tcW w:w="1440" w:type="dxa"/>
            <w:shd w:val="clear" w:color="auto" w:fill="EAF2FF"/>
          </w:tcPr>
          <w:p w14:paraId="1F61D94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Week 4–8</w:t>
            </w:r>
          </w:p>
        </w:tc>
      </w:tr>
      <w:tr w:rsidR="00EE633F" w:rsidRPr="00180982" w14:paraId="2FDE65D6" w14:textId="77777777">
        <w:trPr>
          <w:jc w:val="center"/>
        </w:trPr>
        <w:tc>
          <w:tcPr>
            <w:tcW w:w="432" w:type="dxa"/>
            <w:shd w:val="clear" w:color="auto" w:fill="FFFFFF"/>
          </w:tcPr>
          <w:p w14:paraId="308FCFB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8</w:t>
            </w:r>
          </w:p>
        </w:tc>
        <w:tc>
          <w:tcPr>
            <w:tcW w:w="3744" w:type="dxa"/>
            <w:shd w:val="clear" w:color="auto" w:fill="FFFFFF"/>
          </w:tcPr>
          <w:p w14:paraId="1821175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Ur-Serv to deliver full report with unredacted figures</w:t>
            </w:r>
          </w:p>
        </w:tc>
        <w:tc>
          <w:tcPr>
            <w:tcW w:w="1872" w:type="dxa"/>
            <w:shd w:val="clear" w:color="auto" w:fill="FFFFFF"/>
          </w:tcPr>
          <w:p w14:paraId="48895FB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Ur-Serv</w:t>
            </w:r>
          </w:p>
        </w:tc>
        <w:tc>
          <w:tcPr>
            <w:tcW w:w="1440" w:type="dxa"/>
            <w:shd w:val="clear" w:color="auto" w:fill="FFFFFF"/>
          </w:tcPr>
          <w:p w14:paraId="5929B3A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Week 4–6 (from kick-off)</w:t>
            </w:r>
          </w:p>
        </w:tc>
      </w:tr>
    </w:tbl>
    <w:p w14:paraId="01F59DDC" w14:textId="77777777" w:rsidR="00EE633F" w:rsidRPr="00180982" w:rsidRDefault="00EE633F">
      <w:pPr>
        <w:spacing w:after="80"/>
        <w:rPr>
          <w:rFonts w:asciiTheme="majorHAnsi" w:hAnsiTheme="majorHAnsi" w:cstheme="majorHAnsi"/>
        </w:rPr>
      </w:pPr>
    </w:p>
    <w:p w14:paraId="431E8702" w14:textId="77777777" w:rsidR="00EE633F" w:rsidRPr="00180982" w:rsidRDefault="00000000">
      <w:pPr>
        <w:spacing w:before="200" w:after="80"/>
        <w:rPr>
          <w:rFonts w:asciiTheme="majorHAnsi" w:hAnsiTheme="majorHAnsi" w:cstheme="majorHAnsi"/>
        </w:rPr>
      </w:pPr>
      <w:r w:rsidRPr="00180982">
        <w:rPr>
          <w:rFonts w:asciiTheme="majorHAnsi" w:hAnsiTheme="majorHAnsi" w:cstheme="majorHAnsi"/>
          <w:b/>
          <w:color w:val="1B4F72"/>
          <w:sz w:val="28"/>
        </w:rPr>
        <w:lastRenderedPageBreak/>
        <w:t>Appendices</w:t>
      </w:r>
    </w:p>
    <w:p w14:paraId="052E1CF7" w14:textId="77777777" w:rsidR="00EE633F" w:rsidRPr="00180982" w:rsidRDefault="00000000">
      <w:pPr>
        <w:rPr>
          <w:rFonts w:asciiTheme="majorHAnsi" w:hAnsiTheme="majorHAnsi" w:cstheme="majorHAnsi"/>
        </w:rPr>
      </w:pPr>
      <w:r w:rsidRPr="00180982">
        <w:rPr>
          <w:rFonts w:asciiTheme="majorHAnsi" w:hAnsiTheme="majorHAnsi" w:cstheme="majorHAnsi"/>
          <w:color w:val="BDC3C7"/>
          <w:sz w:val="14"/>
        </w:rPr>
        <w:t>──────────────────────────────────────────────────────────────────────────────────────────────────────────────</w:t>
      </w:r>
    </w:p>
    <w:tbl>
      <w:tblPr>
        <w:tblStyle w:val="TableGrid"/>
        <w:tblW w:w="0" w:type="auto"/>
        <w:jc w:val="center"/>
        <w:tblLook w:val="04A0" w:firstRow="1" w:lastRow="0" w:firstColumn="1" w:lastColumn="0" w:noHBand="0" w:noVBand="1"/>
      </w:tblPr>
      <w:tblGrid>
        <w:gridCol w:w="929"/>
        <w:gridCol w:w="4320"/>
        <w:gridCol w:w="3600"/>
      </w:tblGrid>
      <w:tr w:rsidR="00EE633F" w:rsidRPr="00180982" w14:paraId="64D4C29A" w14:textId="77777777">
        <w:trPr>
          <w:jc w:val="center"/>
        </w:trPr>
        <w:tc>
          <w:tcPr>
            <w:tcW w:w="720" w:type="dxa"/>
            <w:shd w:val="clear" w:color="auto" w:fill="1B4F72"/>
          </w:tcPr>
          <w:p w14:paraId="5519DCE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Appendix</w:t>
            </w:r>
          </w:p>
        </w:tc>
        <w:tc>
          <w:tcPr>
            <w:tcW w:w="4320" w:type="dxa"/>
            <w:shd w:val="clear" w:color="auto" w:fill="1B4F72"/>
          </w:tcPr>
          <w:p w14:paraId="5C3CC4C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Title</w:t>
            </w:r>
          </w:p>
        </w:tc>
        <w:tc>
          <w:tcPr>
            <w:tcW w:w="3600" w:type="dxa"/>
            <w:shd w:val="clear" w:color="auto" w:fill="1B4F72"/>
          </w:tcPr>
          <w:p w14:paraId="225653A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b/>
                <w:color w:val="FFFFFF"/>
                <w:sz w:val="18"/>
              </w:rPr>
              <w:t>Status</w:t>
            </w:r>
          </w:p>
        </w:tc>
      </w:tr>
      <w:tr w:rsidR="00EE633F" w:rsidRPr="00180982" w14:paraId="48886E36" w14:textId="77777777">
        <w:trPr>
          <w:jc w:val="center"/>
        </w:trPr>
        <w:tc>
          <w:tcPr>
            <w:tcW w:w="720" w:type="dxa"/>
            <w:shd w:val="clear" w:color="auto" w:fill="EAF2FF"/>
          </w:tcPr>
          <w:p w14:paraId="513A74F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A</w:t>
            </w:r>
          </w:p>
        </w:tc>
        <w:tc>
          <w:tcPr>
            <w:tcW w:w="4320" w:type="dxa"/>
            <w:shd w:val="clear" w:color="auto" w:fill="EAF2FF"/>
          </w:tcPr>
          <w:p w14:paraId="4AA644E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Detailed Income Statement, Cash Flow &amp; Balance Sheet — 5-Year Model</w:t>
            </w:r>
          </w:p>
        </w:tc>
        <w:tc>
          <w:tcPr>
            <w:tcW w:w="3600" w:type="dxa"/>
            <w:shd w:val="clear" w:color="auto" w:fill="EAF2FF"/>
          </w:tcPr>
          <w:p w14:paraId="67AF3B7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Pending — to be completed in full feasibility stage</w:t>
            </w:r>
          </w:p>
        </w:tc>
      </w:tr>
      <w:tr w:rsidR="00EE633F" w:rsidRPr="00180982" w14:paraId="3A089A5C" w14:textId="77777777">
        <w:trPr>
          <w:jc w:val="center"/>
        </w:trPr>
        <w:tc>
          <w:tcPr>
            <w:tcW w:w="720" w:type="dxa"/>
            <w:shd w:val="clear" w:color="auto" w:fill="FFFFFF"/>
          </w:tcPr>
          <w:p w14:paraId="34F8F9BD"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B</w:t>
            </w:r>
          </w:p>
        </w:tc>
        <w:tc>
          <w:tcPr>
            <w:tcW w:w="4320" w:type="dxa"/>
            <w:shd w:val="clear" w:color="auto" w:fill="FFFFFF"/>
          </w:tcPr>
          <w:p w14:paraId="4E91A59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Full Sensitivity Matrix &amp; Scenario Analysis</w:t>
            </w:r>
          </w:p>
        </w:tc>
        <w:tc>
          <w:tcPr>
            <w:tcW w:w="3600" w:type="dxa"/>
            <w:shd w:val="clear" w:color="auto" w:fill="FFFFFF"/>
          </w:tcPr>
          <w:p w14:paraId="448B960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Pending — figures to be unredacted</w:t>
            </w:r>
          </w:p>
        </w:tc>
      </w:tr>
      <w:tr w:rsidR="00EE633F" w:rsidRPr="00180982" w14:paraId="043ED5FC" w14:textId="77777777">
        <w:trPr>
          <w:jc w:val="center"/>
        </w:trPr>
        <w:tc>
          <w:tcPr>
            <w:tcW w:w="720" w:type="dxa"/>
            <w:shd w:val="clear" w:color="auto" w:fill="EAF2FF"/>
          </w:tcPr>
          <w:p w14:paraId="77169E4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C</w:t>
            </w:r>
          </w:p>
        </w:tc>
        <w:tc>
          <w:tcPr>
            <w:tcW w:w="4320" w:type="dxa"/>
            <w:shd w:val="clear" w:color="auto" w:fill="EAF2FF"/>
          </w:tcPr>
          <w:p w14:paraId="39C1ED7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Detailed Gantt Chart (Project Implementation)</w:t>
            </w:r>
          </w:p>
        </w:tc>
        <w:tc>
          <w:tcPr>
            <w:tcW w:w="3600" w:type="dxa"/>
            <w:shd w:val="clear" w:color="auto" w:fill="EAF2FF"/>
          </w:tcPr>
          <w:p w14:paraId="5FC0D882"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Draft available — to be updated post site selection</w:t>
            </w:r>
          </w:p>
        </w:tc>
      </w:tr>
      <w:tr w:rsidR="00EE633F" w:rsidRPr="00180982" w14:paraId="337FAD7D" w14:textId="77777777">
        <w:trPr>
          <w:jc w:val="center"/>
        </w:trPr>
        <w:tc>
          <w:tcPr>
            <w:tcW w:w="720" w:type="dxa"/>
            <w:shd w:val="clear" w:color="auto" w:fill="FFFFFF"/>
          </w:tcPr>
          <w:p w14:paraId="79A3E77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D</w:t>
            </w:r>
          </w:p>
        </w:tc>
        <w:tc>
          <w:tcPr>
            <w:tcW w:w="4320" w:type="dxa"/>
            <w:shd w:val="clear" w:color="auto" w:fill="FFFFFF"/>
          </w:tcPr>
          <w:p w14:paraId="1FF3553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Supplier Quotations &amp; Technical Datasheets</w:t>
            </w:r>
          </w:p>
        </w:tc>
        <w:tc>
          <w:tcPr>
            <w:tcW w:w="3600" w:type="dxa"/>
            <w:shd w:val="clear" w:color="auto" w:fill="FFFFFF"/>
          </w:tcPr>
          <w:p w14:paraId="5518CD0F"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Pending — formal quotes required</w:t>
            </w:r>
          </w:p>
        </w:tc>
      </w:tr>
      <w:tr w:rsidR="00EE633F" w:rsidRPr="00180982" w14:paraId="43A7E60F" w14:textId="77777777">
        <w:trPr>
          <w:jc w:val="center"/>
        </w:trPr>
        <w:tc>
          <w:tcPr>
            <w:tcW w:w="720" w:type="dxa"/>
            <w:shd w:val="clear" w:color="auto" w:fill="EAF2FF"/>
          </w:tcPr>
          <w:p w14:paraId="442F639C"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w:t>
            </w:r>
          </w:p>
        </w:tc>
        <w:tc>
          <w:tcPr>
            <w:tcW w:w="4320" w:type="dxa"/>
            <w:shd w:val="clear" w:color="auto" w:fill="EAF2FF"/>
          </w:tcPr>
          <w:p w14:paraId="690D3149"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Primary Market Research Data &amp; Interview Summaries</w:t>
            </w:r>
          </w:p>
        </w:tc>
        <w:tc>
          <w:tcPr>
            <w:tcW w:w="3600" w:type="dxa"/>
            <w:shd w:val="clear" w:color="auto" w:fill="EAF2FF"/>
          </w:tcPr>
          <w:p w14:paraId="3A28A0A6"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Pending — to be commissioned</w:t>
            </w:r>
          </w:p>
        </w:tc>
      </w:tr>
      <w:tr w:rsidR="00EE633F" w:rsidRPr="00180982" w14:paraId="52280D93" w14:textId="77777777">
        <w:trPr>
          <w:jc w:val="center"/>
        </w:trPr>
        <w:tc>
          <w:tcPr>
            <w:tcW w:w="720" w:type="dxa"/>
            <w:shd w:val="clear" w:color="auto" w:fill="FFFFFF"/>
          </w:tcPr>
          <w:p w14:paraId="1B319A8E"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F</w:t>
            </w:r>
          </w:p>
        </w:tc>
        <w:tc>
          <w:tcPr>
            <w:tcW w:w="4320" w:type="dxa"/>
            <w:shd w:val="clear" w:color="auto" w:fill="FFFFFF"/>
          </w:tcPr>
          <w:p w14:paraId="5902E98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Site Evaluation Comparison Matrix</w:t>
            </w:r>
          </w:p>
        </w:tc>
        <w:tc>
          <w:tcPr>
            <w:tcW w:w="3600" w:type="dxa"/>
            <w:shd w:val="clear" w:color="auto" w:fill="FFFFFF"/>
          </w:tcPr>
          <w:p w14:paraId="5FC63690"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Pending — post site survey</w:t>
            </w:r>
          </w:p>
        </w:tc>
      </w:tr>
      <w:tr w:rsidR="00EE633F" w:rsidRPr="00180982" w14:paraId="0E39E7A0" w14:textId="77777777">
        <w:trPr>
          <w:jc w:val="center"/>
        </w:trPr>
        <w:tc>
          <w:tcPr>
            <w:tcW w:w="720" w:type="dxa"/>
            <w:shd w:val="clear" w:color="auto" w:fill="EAF2FF"/>
          </w:tcPr>
          <w:p w14:paraId="659DA36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G</w:t>
            </w:r>
          </w:p>
        </w:tc>
        <w:tc>
          <w:tcPr>
            <w:tcW w:w="4320" w:type="dxa"/>
            <w:shd w:val="clear" w:color="auto" w:fill="EAF2FF"/>
          </w:tcPr>
          <w:p w14:paraId="6B91BE6A"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Environmental Impact Assessment Summary (EIA)</w:t>
            </w:r>
          </w:p>
        </w:tc>
        <w:tc>
          <w:tcPr>
            <w:tcW w:w="3600" w:type="dxa"/>
            <w:shd w:val="clear" w:color="auto" w:fill="EAF2FF"/>
          </w:tcPr>
          <w:p w14:paraId="5142E437"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Pending — post site selection</w:t>
            </w:r>
          </w:p>
        </w:tc>
      </w:tr>
      <w:tr w:rsidR="00EE633F" w:rsidRPr="00180982" w14:paraId="2B90367B" w14:textId="77777777">
        <w:trPr>
          <w:jc w:val="center"/>
        </w:trPr>
        <w:tc>
          <w:tcPr>
            <w:tcW w:w="720" w:type="dxa"/>
            <w:shd w:val="clear" w:color="auto" w:fill="FFFFFF"/>
          </w:tcPr>
          <w:p w14:paraId="5E77B034"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H</w:t>
            </w:r>
          </w:p>
        </w:tc>
        <w:tc>
          <w:tcPr>
            <w:tcW w:w="4320" w:type="dxa"/>
            <w:shd w:val="clear" w:color="auto" w:fill="FFFFFF"/>
          </w:tcPr>
          <w:p w14:paraId="30AF94E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Legal &amp; Regulatory Compliance Checklist (Kenya)</w:t>
            </w:r>
          </w:p>
        </w:tc>
        <w:tc>
          <w:tcPr>
            <w:tcW w:w="3600" w:type="dxa"/>
            <w:shd w:val="clear" w:color="auto" w:fill="FFFFFF"/>
          </w:tcPr>
          <w:p w14:paraId="5AEF5B5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Draft available from Ur-Serv</w:t>
            </w:r>
          </w:p>
        </w:tc>
      </w:tr>
      <w:tr w:rsidR="00EE633F" w:rsidRPr="00180982" w14:paraId="5520FED1" w14:textId="77777777">
        <w:trPr>
          <w:jc w:val="center"/>
        </w:trPr>
        <w:tc>
          <w:tcPr>
            <w:tcW w:w="720" w:type="dxa"/>
            <w:shd w:val="clear" w:color="auto" w:fill="EAF2FF"/>
          </w:tcPr>
          <w:p w14:paraId="5686DBA8"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I</w:t>
            </w:r>
          </w:p>
        </w:tc>
        <w:tc>
          <w:tcPr>
            <w:tcW w:w="4320" w:type="dxa"/>
            <w:shd w:val="clear" w:color="auto" w:fill="EAF2FF"/>
          </w:tcPr>
          <w:p w14:paraId="0EA5A71B"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Data Sources &amp; References</w:t>
            </w:r>
          </w:p>
        </w:tc>
        <w:tc>
          <w:tcPr>
            <w:tcW w:w="3600" w:type="dxa"/>
            <w:shd w:val="clear" w:color="auto" w:fill="EAF2FF"/>
          </w:tcPr>
          <w:p w14:paraId="04087FF1" w14:textId="77777777" w:rsidR="00EE633F" w:rsidRPr="00180982" w:rsidRDefault="00000000">
            <w:pPr>
              <w:spacing w:after="20"/>
              <w:rPr>
                <w:rFonts w:asciiTheme="majorHAnsi" w:hAnsiTheme="majorHAnsi" w:cstheme="majorHAnsi"/>
              </w:rPr>
            </w:pPr>
            <w:r w:rsidRPr="00180982">
              <w:rPr>
                <w:rFonts w:asciiTheme="majorHAnsi" w:hAnsiTheme="majorHAnsi" w:cstheme="majorHAnsi"/>
                <w:sz w:val="18"/>
              </w:rPr>
              <w:t>See below</w:t>
            </w:r>
          </w:p>
        </w:tc>
      </w:tr>
    </w:tbl>
    <w:p w14:paraId="6DDC6F97" w14:textId="77777777" w:rsidR="00EE633F" w:rsidRPr="00180982" w:rsidRDefault="00EE633F">
      <w:pPr>
        <w:spacing w:after="80"/>
        <w:rPr>
          <w:rFonts w:asciiTheme="majorHAnsi" w:hAnsiTheme="majorHAnsi" w:cstheme="majorHAnsi"/>
        </w:rPr>
      </w:pPr>
    </w:p>
    <w:p w14:paraId="3CB1E1A0" w14:textId="77777777" w:rsidR="00EE633F" w:rsidRPr="00180982" w:rsidRDefault="00000000">
      <w:pPr>
        <w:spacing w:before="120" w:after="60"/>
        <w:rPr>
          <w:rFonts w:asciiTheme="majorHAnsi" w:hAnsiTheme="majorHAnsi" w:cstheme="majorHAnsi"/>
        </w:rPr>
      </w:pPr>
      <w:r w:rsidRPr="00180982">
        <w:rPr>
          <w:rFonts w:asciiTheme="majorHAnsi" w:hAnsiTheme="majorHAnsi" w:cstheme="majorHAnsi"/>
          <w:b/>
          <w:color w:val="2E86C1"/>
          <w:sz w:val="23"/>
        </w:rPr>
        <w:t>Appendix I — Key Data Sources &amp; References</w:t>
      </w:r>
    </w:p>
    <w:p w14:paraId="0F299503"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17"/>
        </w:rPr>
        <w:t>• Hotel.Report — Sub-Saharan Africa ADR growth data, 2024: ~19% growth (2023–2024); Nairobi all-property average ~USD 124.</w:t>
      </w:r>
    </w:p>
    <w:p w14:paraId="49465E6B"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17"/>
        </w:rPr>
        <w:t>• Knight Frank — Kenya Market Update Mid-Year 2025: Hospitality sector showing sustained recovery and increasing investment confidence.</w:t>
      </w:r>
    </w:p>
    <w:p w14:paraId="2BA10FE8"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17"/>
        </w:rPr>
        <w:t>• Cytonn Investments — Nairobi Serviced Apartments Report, 2025.</w:t>
      </w:r>
    </w:p>
    <w:p w14:paraId="5CEBF35F"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17"/>
        </w:rPr>
        <w:t>• Tourism Regulatory Authority of Kenya (TRA) — Regulatory framework and hotel licensing conditions.</w:t>
      </w:r>
    </w:p>
    <w:p w14:paraId="62E47746"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17"/>
        </w:rPr>
        <w:t>• National Construction Authority of Kenya (NCA) — Building permit requirements and procedures.</w:t>
      </w:r>
    </w:p>
    <w:p w14:paraId="71C0AA9E"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17"/>
        </w:rPr>
        <w:t>• Ur-Serv Business Advisory — Internal MEA Hospitality Benchmarking Database, 2024–2026. www.ur-serv.com</w:t>
      </w:r>
    </w:p>
    <w:p w14:paraId="075E68B6"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17"/>
        </w:rPr>
        <w:t>• World Bank — Kenya Economic Update, 2025 (GDP growth, FX, investment climate).</w:t>
      </w:r>
    </w:p>
    <w:p w14:paraId="4BE3C497"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17"/>
        </w:rPr>
        <w:t>• MWAKILISHI / Frontier Africa Reports — Nairobi hospitality sector recovery outlook, August 2025.</w:t>
      </w:r>
    </w:p>
    <w:p w14:paraId="7BF9B0B7"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17"/>
        </w:rPr>
        <w:t>• Source Strategies — Mid-scale hotel feasibility study model, 2024.</w:t>
      </w:r>
    </w:p>
    <w:p w14:paraId="34FD50D8" w14:textId="77777777" w:rsidR="00EE633F" w:rsidRPr="00180982" w:rsidRDefault="00000000">
      <w:pPr>
        <w:spacing w:after="40"/>
        <w:rPr>
          <w:rFonts w:asciiTheme="majorHAnsi" w:hAnsiTheme="majorHAnsi" w:cstheme="majorHAnsi"/>
        </w:rPr>
      </w:pPr>
      <w:r w:rsidRPr="00180982">
        <w:rPr>
          <w:rFonts w:asciiTheme="majorHAnsi" w:hAnsiTheme="majorHAnsi" w:cstheme="majorHAnsi"/>
          <w:sz w:val="17"/>
        </w:rPr>
        <w:t>• feasibility-studies.com — Feasibility study framework, section structure, and financial modelling best practices.</w:t>
      </w:r>
    </w:p>
    <w:p w14:paraId="75134BC0" w14:textId="77777777" w:rsidR="00EE633F" w:rsidRPr="00180982" w:rsidRDefault="00EE633F">
      <w:pPr>
        <w:spacing w:after="100"/>
        <w:rPr>
          <w:rFonts w:asciiTheme="majorHAnsi" w:hAnsiTheme="majorHAnsi" w:cstheme="majorHAnsi"/>
        </w:rPr>
      </w:pPr>
    </w:p>
    <w:p w14:paraId="004E0A6D" w14:textId="77777777" w:rsidR="00EE633F" w:rsidRPr="00180982" w:rsidRDefault="00000000">
      <w:pPr>
        <w:rPr>
          <w:rFonts w:asciiTheme="majorHAnsi" w:hAnsiTheme="majorHAnsi" w:cstheme="majorHAnsi"/>
        </w:rPr>
      </w:pPr>
      <w:r w:rsidRPr="00180982">
        <w:rPr>
          <w:rFonts w:asciiTheme="majorHAnsi" w:hAnsiTheme="majorHAnsi" w:cstheme="majorHAnsi"/>
          <w:color w:val="BDC3C7"/>
          <w:sz w:val="14"/>
        </w:rPr>
        <w:t>──────────────────────────────────────────────────────────────────────────────────────────────────────────────</w:t>
      </w:r>
    </w:p>
    <w:p w14:paraId="455FC9AD" w14:textId="77777777" w:rsidR="00180982" w:rsidRDefault="00000000">
      <w:pPr>
        <w:spacing w:after="100"/>
        <w:rPr>
          <w:rFonts w:asciiTheme="majorHAnsi" w:hAnsiTheme="majorHAnsi" w:cstheme="majorHAnsi"/>
          <w:i/>
          <w:color w:val="7F8C8D"/>
          <w:sz w:val="16"/>
        </w:rPr>
      </w:pPr>
      <w:r w:rsidRPr="00180982">
        <w:rPr>
          <w:rFonts w:asciiTheme="majorHAnsi" w:hAnsiTheme="majorHAnsi" w:cstheme="majorHAnsi"/>
          <w:i/>
          <w:color w:val="7F8C8D"/>
          <w:sz w:val="16"/>
        </w:rPr>
        <w:t xml:space="preserve">Confidentiality Notice: This document is a sample feasibility study prepared by Ur-Serv Business Advisory for planning and discussion purposes only. Financial figures are indicative and partially redacted (shown as </w:t>
      </w:r>
      <w:r w:rsidRPr="00180982">
        <w:rPr>
          <w:rFonts w:ascii="Arial" w:hAnsi="Arial" w:cs="Arial"/>
          <w:i/>
          <w:color w:val="7F8C8D"/>
          <w:sz w:val="16"/>
        </w:rPr>
        <w:t>██</w:t>
      </w:r>
      <w:r w:rsidRPr="00180982">
        <w:rPr>
          <w:rFonts w:asciiTheme="majorHAnsi" w:hAnsiTheme="majorHAnsi" w:cstheme="majorHAnsi"/>
          <w:i/>
          <w:color w:val="7F8C8D"/>
          <w:sz w:val="16"/>
        </w:rPr>
        <w:t xml:space="preserve">) and must be replaced with actual project data and a full financial model before any investment commitment. </w:t>
      </w:r>
    </w:p>
    <w:p w14:paraId="4CF2ACDF" w14:textId="1836C7E3" w:rsidR="00EE633F" w:rsidRPr="00180982" w:rsidRDefault="00000000">
      <w:pPr>
        <w:spacing w:after="100"/>
        <w:rPr>
          <w:rFonts w:asciiTheme="majorHAnsi" w:hAnsiTheme="majorHAnsi" w:cstheme="majorHAnsi"/>
        </w:rPr>
      </w:pPr>
      <w:r w:rsidRPr="00180982">
        <w:rPr>
          <w:rFonts w:asciiTheme="majorHAnsi" w:hAnsiTheme="majorHAnsi" w:cstheme="majorHAnsi"/>
          <w:i/>
          <w:color w:val="7F8C8D"/>
          <w:sz w:val="16"/>
        </w:rPr>
        <w:t xml:space="preserve">This document does not constitute investment, legal, or financial advice. CONFIDENTIAL </w:t>
      </w:r>
      <w:r w:rsidRPr="00180982">
        <w:rPr>
          <w:rFonts w:ascii="Calibri" w:hAnsi="Calibri" w:cs="Calibri"/>
          <w:i/>
          <w:color w:val="7F8C8D"/>
          <w:sz w:val="16"/>
        </w:rPr>
        <w:t>—</w:t>
      </w:r>
      <w:r w:rsidRPr="00180982">
        <w:rPr>
          <w:rFonts w:asciiTheme="majorHAnsi" w:hAnsiTheme="majorHAnsi" w:cstheme="majorHAnsi"/>
          <w:i/>
          <w:color w:val="7F8C8D"/>
          <w:sz w:val="16"/>
        </w:rPr>
        <w:t xml:space="preserve"> For internal use by the intended recipient only. </w:t>
      </w:r>
      <w:r w:rsidRPr="00180982">
        <w:rPr>
          <w:rFonts w:ascii="Calibri" w:hAnsi="Calibri" w:cs="Calibri"/>
          <w:i/>
          <w:color w:val="7F8C8D"/>
          <w:sz w:val="16"/>
        </w:rPr>
        <w:t>©</w:t>
      </w:r>
      <w:r w:rsidRPr="00180982">
        <w:rPr>
          <w:rFonts w:asciiTheme="majorHAnsi" w:hAnsiTheme="majorHAnsi" w:cstheme="majorHAnsi"/>
          <w:i/>
          <w:color w:val="7F8C8D"/>
          <w:sz w:val="16"/>
        </w:rPr>
        <w:t xml:space="preserve"> 2026 Ur-Serv Business Advisory. All rights reserved. </w:t>
      </w:r>
      <w:r w:rsidR="00180982">
        <w:rPr>
          <w:rFonts w:asciiTheme="majorHAnsi" w:hAnsiTheme="majorHAnsi" w:cstheme="majorHAnsi"/>
          <w:i/>
          <w:color w:val="7F8C8D"/>
          <w:sz w:val="16"/>
        </w:rPr>
        <w:t>w</w:t>
      </w:r>
      <w:r w:rsidRPr="00180982">
        <w:rPr>
          <w:rFonts w:asciiTheme="majorHAnsi" w:hAnsiTheme="majorHAnsi" w:cstheme="majorHAnsi"/>
          <w:i/>
          <w:color w:val="7F8C8D"/>
          <w:sz w:val="16"/>
        </w:rPr>
        <w:t>ww</w:t>
      </w:r>
      <w:r w:rsidR="00180982">
        <w:rPr>
          <w:rFonts w:asciiTheme="majorHAnsi" w:hAnsiTheme="majorHAnsi" w:cstheme="majorHAnsi"/>
          <w:i/>
          <w:color w:val="7F8C8D"/>
          <w:sz w:val="16"/>
        </w:rPr>
        <w:t>.feasibility-studies</w:t>
      </w:r>
      <w:r w:rsidRPr="00180982">
        <w:rPr>
          <w:rFonts w:asciiTheme="majorHAnsi" w:hAnsiTheme="majorHAnsi" w:cstheme="majorHAnsi"/>
          <w:i/>
          <w:color w:val="7F8C8D"/>
          <w:sz w:val="16"/>
        </w:rPr>
        <w:t xml:space="preserve">.com | </w:t>
      </w:r>
      <w:r w:rsidR="00180982">
        <w:rPr>
          <w:rFonts w:asciiTheme="majorHAnsi" w:hAnsiTheme="majorHAnsi" w:cstheme="majorHAnsi"/>
          <w:i/>
          <w:color w:val="7F8C8D"/>
          <w:sz w:val="16"/>
        </w:rPr>
        <w:t>support</w:t>
      </w:r>
      <w:r w:rsidRPr="00180982">
        <w:rPr>
          <w:rFonts w:asciiTheme="majorHAnsi" w:hAnsiTheme="majorHAnsi" w:cstheme="majorHAnsi"/>
          <w:i/>
          <w:color w:val="7F8C8D"/>
          <w:sz w:val="16"/>
        </w:rPr>
        <w:t>@ur-serv.com</w:t>
      </w:r>
    </w:p>
    <w:sectPr w:rsidR="00EE633F" w:rsidRPr="00180982" w:rsidSect="00034616">
      <w:headerReference w:type="even" r:id="rId13"/>
      <w:headerReference w:type="default" r:id="rId14"/>
      <w:footerReference w:type="even" r:id="rId15"/>
      <w:footerReference w:type="default" r:id="rId16"/>
      <w:headerReference w:type="first" r:id="rId17"/>
      <w:footerReference w:type="first" r:id="rId18"/>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612DE" w14:textId="77777777" w:rsidR="004276A9" w:rsidRDefault="004276A9" w:rsidP="00180982">
      <w:pPr>
        <w:spacing w:after="0" w:line="240" w:lineRule="auto"/>
      </w:pPr>
      <w:r>
        <w:separator/>
      </w:r>
    </w:p>
  </w:endnote>
  <w:endnote w:type="continuationSeparator" w:id="0">
    <w:p w14:paraId="4584D95E" w14:textId="77777777" w:rsidR="004276A9" w:rsidRDefault="004276A9" w:rsidP="00180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555B" w14:textId="77777777" w:rsidR="00180982" w:rsidRDefault="00180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05B3" w14:textId="77777777" w:rsidR="00180982" w:rsidRDefault="001809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C62B" w14:textId="77777777" w:rsidR="00180982" w:rsidRDefault="00180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6E57" w14:textId="77777777" w:rsidR="004276A9" w:rsidRDefault="004276A9" w:rsidP="00180982">
      <w:pPr>
        <w:spacing w:after="0" w:line="240" w:lineRule="auto"/>
      </w:pPr>
      <w:r>
        <w:separator/>
      </w:r>
    </w:p>
  </w:footnote>
  <w:footnote w:type="continuationSeparator" w:id="0">
    <w:p w14:paraId="1ABD5FC8" w14:textId="77777777" w:rsidR="004276A9" w:rsidRDefault="004276A9" w:rsidP="00180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8CE1" w14:textId="77777777" w:rsidR="00180982" w:rsidRDefault="00180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355676"/>
      <w:docPartObj>
        <w:docPartGallery w:val="Watermarks"/>
        <w:docPartUnique/>
      </w:docPartObj>
    </w:sdtPr>
    <w:sdtContent>
      <w:p w14:paraId="36EEDEE8" w14:textId="2FCED8C5" w:rsidR="00180982" w:rsidRDefault="00180982">
        <w:pPr>
          <w:pStyle w:val="Header"/>
        </w:pPr>
        <w:r>
          <w:rPr>
            <w:noProof/>
          </w:rPr>
          <w:pict w14:anchorId="679A5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1064" w14:textId="77777777" w:rsidR="00180982" w:rsidRDefault="00180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3072007">
    <w:abstractNumId w:val="8"/>
  </w:num>
  <w:num w:numId="2" w16cid:durableId="1729380390">
    <w:abstractNumId w:val="6"/>
  </w:num>
  <w:num w:numId="3" w16cid:durableId="1811360793">
    <w:abstractNumId w:val="5"/>
  </w:num>
  <w:num w:numId="4" w16cid:durableId="1711224238">
    <w:abstractNumId w:val="4"/>
  </w:num>
  <w:num w:numId="5" w16cid:durableId="724917657">
    <w:abstractNumId w:val="7"/>
  </w:num>
  <w:num w:numId="6" w16cid:durableId="918364974">
    <w:abstractNumId w:val="3"/>
  </w:num>
  <w:num w:numId="7" w16cid:durableId="510333838">
    <w:abstractNumId w:val="2"/>
  </w:num>
  <w:num w:numId="8" w16cid:durableId="1882863769">
    <w:abstractNumId w:val="1"/>
  </w:num>
  <w:num w:numId="9" w16cid:durableId="130831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7454"/>
    <w:rsid w:val="0015074B"/>
    <w:rsid w:val="00180982"/>
    <w:rsid w:val="0029639D"/>
    <w:rsid w:val="00326F90"/>
    <w:rsid w:val="004276A9"/>
    <w:rsid w:val="00AA1D8D"/>
    <w:rsid w:val="00B47730"/>
    <w:rsid w:val="00CB0664"/>
    <w:rsid w:val="00EE633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2527F9"/>
  <w14:defaultImageDpi w14:val="300"/>
  <w15:docId w15:val="{EA82F36C-311F-4206-876A-FE48DF34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4114</Words>
  <Characters>23452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Ur-Serv Business Development LLC</cp:lastModifiedBy>
  <cp:revision>2</cp:revision>
  <dcterms:created xsi:type="dcterms:W3CDTF">2013-12-23T23:15:00Z</dcterms:created>
  <dcterms:modified xsi:type="dcterms:W3CDTF">2026-06-26T20:23:00Z</dcterms:modified>
  <cp:category/>
</cp:coreProperties>
</file>